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F0675" w14:textId="77777777" w:rsidR="00D72259" w:rsidRPr="00D72259" w:rsidRDefault="00D72259" w:rsidP="007003DF">
      <w:pPr>
        <w:pStyle w:val="berschrift2"/>
        <w:pBdr>
          <w:bottom w:val="single" w:sz="4" w:space="1" w:color="auto"/>
        </w:pBdr>
      </w:pPr>
      <w:r w:rsidRPr="00D72259">
        <w:t>1</w:t>
      </w:r>
      <w:r w:rsidRPr="00D72259">
        <w:tab/>
        <w:t>Bezeichnung des Stoffes/der Zubereitung und des Unternehmens</w:t>
      </w:r>
    </w:p>
    <w:p w14:paraId="65278C38" w14:textId="77777777" w:rsidR="00D72259" w:rsidRPr="00D72259" w:rsidRDefault="00C66A5C" w:rsidP="00C66A5C">
      <w:pPr>
        <w:pStyle w:val="berschrift3"/>
        <w:rPr>
          <w:szCs w:val="20"/>
        </w:rPr>
      </w:pPr>
      <w:r>
        <w:t>1.1</w:t>
      </w:r>
      <w:r>
        <w:tab/>
      </w:r>
      <w:r w:rsidR="00D72259" w:rsidRPr="00C66A5C">
        <w:t>Bezeichnung</w:t>
      </w:r>
      <w:r w:rsidR="00D72259" w:rsidRPr="00D72259">
        <w:t xml:space="preserve"> des Stoffes oder der Zubereitung</w:t>
      </w:r>
    </w:p>
    <w:p w14:paraId="393B38C1" w14:textId="77777777" w:rsidR="00D72259" w:rsidRPr="00D72259" w:rsidRDefault="00D72259" w:rsidP="00775645">
      <w:pPr>
        <w:tabs>
          <w:tab w:val="clear" w:pos="5103"/>
          <w:tab w:val="left" w:pos="5655"/>
        </w:tabs>
        <w:spacing w:before="120"/>
        <w:ind w:left="567"/>
      </w:pPr>
      <w:r w:rsidRPr="00D72259">
        <w:t xml:space="preserve">Handelsname: </w:t>
      </w:r>
      <w:r w:rsidR="003244A6" w:rsidRPr="00775645">
        <w:rPr>
          <w:b/>
        </w:rPr>
        <w:t xml:space="preserve">Isozid®-H </w:t>
      </w:r>
      <w:r w:rsidR="008C45AD">
        <w:rPr>
          <w:b/>
        </w:rPr>
        <w:t>gefärbt</w:t>
      </w:r>
      <w:r w:rsidR="003244A6" w:rsidRPr="00775645">
        <w:rPr>
          <w:b/>
        </w:rPr>
        <w:t xml:space="preserve"> - alkoholische Lösung zur Hautdesinfektion</w:t>
      </w:r>
    </w:p>
    <w:p w14:paraId="2FFD19FB" w14:textId="77777777" w:rsidR="00D72259" w:rsidRPr="00C66A5C" w:rsidRDefault="00C66A5C" w:rsidP="00C66A5C">
      <w:pPr>
        <w:pStyle w:val="berschrift3"/>
        <w:ind w:left="567" w:hanging="567"/>
      </w:pPr>
      <w:r>
        <w:t>1.2</w:t>
      </w:r>
      <w:r>
        <w:tab/>
      </w:r>
      <w:r w:rsidR="00D72259" w:rsidRPr="00C66A5C">
        <w:t>Relevante identifizierte Verwendungen des Stoffs oder Gemischs und Verwendungen, von denen abgeraten wird</w:t>
      </w:r>
    </w:p>
    <w:p w14:paraId="1BDA922B" w14:textId="77777777" w:rsidR="00D72259" w:rsidRPr="00C66A5C" w:rsidRDefault="00D72259" w:rsidP="008C45AD">
      <w:pPr>
        <w:spacing w:before="120"/>
        <w:ind w:left="567"/>
      </w:pPr>
      <w:r w:rsidRPr="00C66A5C">
        <w:t xml:space="preserve">Identifizierte Verwendungen: </w:t>
      </w:r>
      <w:r w:rsidR="003244A6" w:rsidRPr="003244A6">
        <w:t xml:space="preserve">Arzneimittel, </w:t>
      </w:r>
      <w:r w:rsidR="008C45AD">
        <w:t>Desinfektion der Haut vor Injektionen, Impfungen, Inzisionen, Punktionen und Operationen (wenn aus Sicherheitsgründen eine optische Kontrolle der desinfizierten Hautpartien erwünscht ist).</w:t>
      </w:r>
    </w:p>
    <w:p w14:paraId="2B264940" w14:textId="77777777" w:rsidR="003244A6" w:rsidRPr="00D72259" w:rsidRDefault="003244A6" w:rsidP="003244A6">
      <w:pPr>
        <w:pStyle w:val="berschrift3"/>
        <w:rPr>
          <w:szCs w:val="20"/>
        </w:rPr>
      </w:pPr>
      <w:r>
        <w:t>1.3</w:t>
      </w:r>
      <w:r>
        <w:tab/>
      </w:r>
      <w:r w:rsidRPr="003244A6">
        <w:t>Einzelheiten zum Lieferanten, der das Sicherheitsdatenblatt bereitstellt</w:t>
      </w:r>
    </w:p>
    <w:p w14:paraId="76D4D69E" w14:textId="77777777" w:rsidR="003244A6" w:rsidRDefault="003244A6" w:rsidP="00775645">
      <w:pPr>
        <w:tabs>
          <w:tab w:val="clear" w:pos="2552"/>
          <w:tab w:val="clear" w:pos="5103"/>
          <w:tab w:val="left" w:pos="3686"/>
        </w:tabs>
        <w:spacing w:before="120"/>
        <w:ind w:left="2124" w:hanging="1557"/>
      </w:pPr>
      <w:r>
        <w:t>Hersteller / Lieferant</w:t>
      </w:r>
      <w:r>
        <w:tab/>
        <w:t>Gebro Pharma GmbH</w:t>
      </w:r>
      <w:r>
        <w:br/>
      </w:r>
      <w:r>
        <w:tab/>
        <w:t>Bahnhofbichl 13</w:t>
      </w:r>
      <w:r>
        <w:br/>
      </w:r>
      <w:r>
        <w:tab/>
        <w:t>6391 Fieberbrunn</w:t>
      </w:r>
      <w:r w:rsidR="00533863">
        <w:br/>
      </w:r>
      <w:r w:rsidR="00533863">
        <w:tab/>
        <w:t>Österreich</w:t>
      </w:r>
      <w:r w:rsidR="00533863">
        <w:br/>
      </w:r>
      <w:r w:rsidR="00533863">
        <w:tab/>
      </w:r>
      <w:r>
        <w:t>Tel.: +43 5354 5300-0</w:t>
      </w:r>
      <w:r w:rsidR="00533863">
        <w:br/>
      </w:r>
      <w:r w:rsidR="00533863">
        <w:tab/>
      </w:r>
      <w:r>
        <w:t>Fax: +43 5354 5300-710</w:t>
      </w:r>
      <w:r w:rsidR="00533863">
        <w:br/>
      </w:r>
      <w:r w:rsidR="00533863">
        <w:tab/>
      </w:r>
      <w:r w:rsidR="008F6AFB">
        <w:t>E-Mail</w:t>
      </w:r>
      <w:r>
        <w:t>: pharma@gebro.com</w:t>
      </w:r>
    </w:p>
    <w:p w14:paraId="5E3A5858" w14:textId="77777777" w:rsidR="00533863" w:rsidRPr="00D72259" w:rsidRDefault="003244A6" w:rsidP="00775645">
      <w:pPr>
        <w:tabs>
          <w:tab w:val="clear" w:pos="2552"/>
          <w:tab w:val="clear" w:pos="5103"/>
          <w:tab w:val="left" w:pos="3686"/>
        </w:tabs>
        <w:spacing w:before="120"/>
        <w:ind w:left="709" w:hanging="142"/>
      </w:pPr>
      <w:r w:rsidRPr="00775645">
        <w:t>Ansprechpartner</w:t>
      </w:r>
      <w:r>
        <w:tab/>
      </w:r>
      <w:r w:rsidR="00775645">
        <w:t>Gebro Pharma GmbH</w:t>
      </w:r>
      <w:r w:rsidR="00775645">
        <w:br/>
      </w:r>
      <w:r w:rsidR="00533863">
        <w:tab/>
        <w:t>Tel.: +43 5354 5300-0</w:t>
      </w:r>
      <w:r w:rsidR="00533863">
        <w:br/>
      </w:r>
      <w:r w:rsidR="00533863">
        <w:tab/>
        <w:t>Fax: +43 5354 5300-710</w:t>
      </w:r>
      <w:r w:rsidR="00533863">
        <w:br/>
      </w:r>
      <w:r w:rsidR="00533863">
        <w:tab/>
      </w:r>
      <w:r w:rsidR="008F6AFB">
        <w:t>E-Mail</w:t>
      </w:r>
      <w:r w:rsidR="00533863">
        <w:t>: pharma@gebro.com</w:t>
      </w:r>
    </w:p>
    <w:p w14:paraId="7F5C0600" w14:textId="77777777" w:rsidR="00533863" w:rsidRDefault="00533863" w:rsidP="00533863">
      <w:pPr>
        <w:pStyle w:val="berschrift3"/>
      </w:pPr>
      <w:r>
        <w:t>1.4</w:t>
      </w:r>
      <w:r>
        <w:tab/>
      </w:r>
      <w:r w:rsidRPr="00533863">
        <w:t>Notrufnummer</w:t>
      </w:r>
    </w:p>
    <w:p w14:paraId="085F2CA2" w14:textId="77777777" w:rsidR="00533863" w:rsidRPr="00533863" w:rsidRDefault="00533863" w:rsidP="00533863">
      <w:pPr>
        <w:ind w:left="3686"/>
      </w:pPr>
      <w:r>
        <w:t>Vergiftungsinformationszentrale (VIZ) Wien</w:t>
      </w:r>
      <w:r>
        <w:br/>
      </w:r>
      <w:r w:rsidRPr="00533863">
        <w:t>Notruf-Telefon:</w:t>
      </w:r>
      <w:r>
        <w:t xml:space="preserve"> +43 1 406 4343</w:t>
      </w:r>
    </w:p>
    <w:p w14:paraId="463FF56E" w14:textId="77777777" w:rsidR="00280A6E" w:rsidRPr="0054714D" w:rsidRDefault="00280A6E" w:rsidP="007003DF">
      <w:pPr>
        <w:pStyle w:val="berschrift2"/>
        <w:pBdr>
          <w:bottom w:val="single" w:sz="4" w:space="1" w:color="auto"/>
        </w:pBdr>
      </w:pPr>
      <w:r w:rsidRPr="0054714D">
        <w:t>2</w:t>
      </w:r>
      <w:r>
        <w:tab/>
      </w:r>
      <w:r w:rsidRPr="0054714D">
        <w:t>Mögliche Gefahren</w:t>
      </w:r>
    </w:p>
    <w:p w14:paraId="1EB747BE" w14:textId="77777777" w:rsidR="00D922C2" w:rsidRDefault="00D922C2" w:rsidP="00D922C2">
      <w:pPr>
        <w:pStyle w:val="berschrift3"/>
      </w:pPr>
      <w:r>
        <w:t>2.1</w:t>
      </w:r>
      <w:r>
        <w:tab/>
      </w:r>
      <w:r w:rsidR="00280A6E" w:rsidRPr="00E34334">
        <w:t>Einstufung des Stoffs oder Gemischs</w:t>
      </w:r>
      <w:r>
        <w:t xml:space="preserve"> </w:t>
      </w:r>
    </w:p>
    <w:p w14:paraId="78480223" w14:textId="77777777" w:rsidR="00280A6E" w:rsidRDefault="00280A6E" w:rsidP="007238AB">
      <w:pPr>
        <w:pStyle w:val="berschrift3"/>
        <w:ind w:left="567"/>
      </w:pPr>
      <w:r w:rsidRPr="00E34334">
        <w:t>Einstufung gemäß Verordnung (EG) Nr. 1272/2008</w:t>
      </w:r>
    </w:p>
    <w:p w14:paraId="7D86E8CE" w14:textId="77777777" w:rsidR="008A306C" w:rsidRPr="007A5FB7" w:rsidRDefault="008A306C" w:rsidP="008A306C">
      <w:pPr>
        <w:ind w:left="567"/>
      </w:pPr>
      <w:r w:rsidRPr="007A5FB7">
        <w:t>Achtung</w:t>
      </w:r>
    </w:p>
    <w:p w14:paraId="3B9E1CD9" w14:textId="77777777" w:rsidR="00C82873" w:rsidRPr="007A5FB7" w:rsidRDefault="00C82873" w:rsidP="008A306C">
      <w:pPr>
        <w:ind w:left="567"/>
      </w:pPr>
      <w:r w:rsidRPr="007A5FB7">
        <w:t>2.6/3 entzündbare Flüssigkeit, Kat.3 H226</w:t>
      </w:r>
    </w:p>
    <w:p w14:paraId="3BC58DF8" w14:textId="77777777" w:rsidR="00683A1E" w:rsidRPr="007A5FB7" w:rsidRDefault="00683A1E" w:rsidP="008A306C">
      <w:pPr>
        <w:ind w:left="567"/>
      </w:pPr>
      <w:r w:rsidRPr="007A5FB7">
        <w:t>3.3/</w:t>
      </w:r>
      <w:r w:rsidR="007A5FB7" w:rsidRPr="007A5FB7">
        <w:t xml:space="preserve">2 </w:t>
      </w:r>
      <w:r w:rsidRPr="007A5FB7">
        <w:t>schwere Augenreizung Kat.2, H319</w:t>
      </w:r>
    </w:p>
    <w:p w14:paraId="24E43478" w14:textId="77777777" w:rsidR="00683A1E" w:rsidRDefault="008A306C" w:rsidP="008A306C">
      <w:pPr>
        <w:ind w:left="567"/>
      </w:pPr>
      <w:r w:rsidRPr="007A5FB7">
        <w:t>3.8</w:t>
      </w:r>
      <w:r w:rsidR="007A5FB7" w:rsidRPr="007A5FB7">
        <w:t>/3</w:t>
      </w:r>
      <w:r w:rsidR="007A5FB7">
        <w:t xml:space="preserve"> </w:t>
      </w:r>
      <w:r w:rsidRPr="007A5FB7">
        <w:t xml:space="preserve">Kann Schläfrigkeit und Benommenheit verursachen. </w:t>
      </w:r>
      <w:r w:rsidR="00683A1E" w:rsidRPr="007A5FB7">
        <w:t>H33</w:t>
      </w:r>
      <w:r w:rsidR="007238AB" w:rsidRPr="007A5FB7">
        <w:t>6</w:t>
      </w:r>
    </w:p>
    <w:p w14:paraId="61BD9D1C" w14:textId="77777777" w:rsidR="00280A6E" w:rsidRPr="003F4582" w:rsidRDefault="007238AB" w:rsidP="007238AB">
      <w:pPr>
        <w:pStyle w:val="berschrift3"/>
      </w:pPr>
      <w:r>
        <w:t>2.2</w:t>
      </w:r>
      <w:r>
        <w:tab/>
      </w:r>
      <w:r w:rsidR="00280A6E" w:rsidRPr="00E34334">
        <w:t>Kennzeichnungselemente</w:t>
      </w:r>
    </w:p>
    <w:p w14:paraId="424119E2" w14:textId="77777777" w:rsidR="00280A6E" w:rsidRDefault="00280A6E" w:rsidP="007238AB">
      <w:pPr>
        <w:pStyle w:val="berschrift3"/>
        <w:ind w:left="567"/>
      </w:pPr>
      <w:r w:rsidRPr="00E34334">
        <w:t>Kennzeichnung gemäß Verordnung (EG) Nr. 1272/2008</w:t>
      </w:r>
    </w:p>
    <w:p w14:paraId="568ABD5B" w14:textId="77777777" w:rsidR="00280A6E" w:rsidRDefault="006B5E1A" w:rsidP="007A5FB7">
      <w:pPr>
        <w:ind w:left="567"/>
      </w:pPr>
      <w:r w:rsidRPr="006B5E1A">
        <w:t>Der Stoff ist gemäß CLP-Verordnung eingestuft. Da es sich um ein Arzneimittel handelt entfällt die Kennzeichnung.</w:t>
      </w:r>
    </w:p>
    <w:p w14:paraId="238F2620" w14:textId="77777777" w:rsidR="00280A6E" w:rsidRPr="003F4582" w:rsidRDefault="00280A6E" w:rsidP="007238AB">
      <w:pPr>
        <w:pStyle w:val="berschrift3"/>
        <w:ind w:left="567"/>
      </w:pPr>
      <w:r w:rsidRPr="00E34334">
        <w:lastRenderedPageBreak/>
        <w:t>Gefahrenpiktogramme</w:t>
      </w:r>
    </w:p>
    <w:p w14:paraId="45B659D7" w14:textId="77777777" w:rsidR="00CB7375" w:rsidRPr="003F4582" w:rsidRDefault="00CB7375" w:rsidP="00471F2E">
      <w:pPr>
        <w:ind w:left="567"/>
      </w:pPr>
      <w:r>
        <w:rPr>
          <w:noProof/>
          <w:lang w:val="de-DE"/>
        </w:rPr>
        <w:drawing>
          <wp:inline distT="0" distB="0" distL="0" distR="0" wp14:anchorId="76ED1ED6" wp14:editId="01C4E4D8">
            <wp:extent cx="542925" cy="542925"/>
            <wp:effectExtent l="0" t="0" r="9525" b="9525"/>
            <wp:docPr id="3" name="Bild 4"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lang w:val="de-DE"/>
        </w:rPr>
        <w:drawing>
          <wp:inline distT="0" distB="0" distL="0" distR="0" wp14:anchorId="798BD190" wp14:editId="03F369C5">
            <wp:extent cx="542925" cy="542925"/>
            <wp:effectExtent l="0" t="0" r="9525" b="9525"/>
            <wp:docPr id="7" name="Bild 3"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ht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FA15A21" w14:textId="77777777" w:rsidR="00CB7375" w:rsidRDefault="00E53AA2" w:rsidP="00471F2E">
      <w:pPr>
        <w:ind w:left="567"/>
        <w:rPr>
          <w:lang w:val="en-GB"/>
        </w:rPr>
      </w:pPr>
      <w:bookmarkStart w:id="0" w:name="Text14"/>
      <w:r>
        <w:rPr>
          <w:lang w:val="en-GB"/>
        </w:rPr>
        <w:t xml:space="preserve"> </w:t>
      </w:r>
      <w:bookmarkEnd w:id="0"/>
      <w:r w:rsidR="004726DA" w:rsidRPr="00D72259">
        <w:rPr>
          <w:lang w:val="en-GB"/>
        </w:rPr>
        <w:t xml:space="preserve">GHS02   </w:t>
      </w:r>
      <w:r w:rsidR="00CB7375" w:rsidRPr="00D72259">
        <w:rPr>
          <w:lang w:val="en-GB"/>
        </w:rPr>
        <w:t xml:space="preserve">  </w:t>
      </w:r>
      <w:r>
        <w:rPr>
          <w:lang w:val="en-GB"/>
        </w:rPr>
        <w:t xml:space="preserve"> </w:t>
      </w:r>
      <w:r w:rsidR="00CB7375" w:rsidRPr="00D72259">
        <w:rPr>
          <w:lang w:val="en-GB"/>
        </w:rPr>
        <w:t xml:space="preserve"> GHS07  </w:t>
      </w:r>
    </w:p>
    <w:p w14:paraId="6C0B99B3" w14:textId="77777777" w:rsidR="007A5FB7" w:rsidRPr="007A5FB7" w:rsidRDefault="007A5FB7" w:rsidP="00471F2E">
      <w:pPr>
        <w:ind w:left="567"/>
      </w:pPr>
      <w:r w:rsidRPr="00775645">
        <w:rPr>
          <w:b/>
        </w:rPr>
        <w:t>Ergänzende Gefahrenhinweise:</w:t>
      </w:r>
      <w:r w:rsidRPr="00775645">
        <w:t xml:space="preserve"> Obwohl es sich bei diesem Produkt um ein nicht kennzeichnungspflichtiges Arzneimittel handelt, empfehlen wir dennoch, die Angaben im Sicherheitsdatenblatt zu beachten.</w:t>
      </w:r>
    </w:p>
    <w:p w14:paraId="14144FA8" w14:textId="77777777" w:rsidR="00471F2E" w:rsidRDefault="00280A6E" w:rsidP="00471F2E">
      <w:pPr>
        <w:pStyle w:val="berschrift3"/>
        <w:ind w:left="567"/>
        <w:rPr>
          <w:lang w:val="en-GB"/>
        </w:rPr>
      </w:pPr>
      <w:r w:rsidRPr="007238AB">
        <w:t>Signalwort</w:t>
      </w:r>
      <w:r w:rsidRPr="00FB3F81">
        <w:rPr>
          <w:lang w:val="en-GB"/>
        </w:rPr>
        <w:t xml:space="preserve"> </w:t>
      </w:r>
    </w:p>
    <w:p w14:paraId="6A409B99" w14:textId="77777777" w:rsidR="00280A6E" w:rsidRPr="00FB3F81" w:rsidRDefault="00471F2E" w:rsidP="00471F2E">
      <w:pPr>
        <w:ind w:left="567"/>
        <w:rPr>
          <w:lang w:val="en-GB"/>
        </w:rPr>
      </w:pPr>
      <w:r>
        <w:t>Achtung</w:t>
      </w:r>
    </w:p>
    <w:p w14:paraId="4B9E25EE" w14:textId="77777777" w:rsidR="00280A6E" w:rsidRPr="003F4582" w:rsidRDefault="00280A6E" w:rsidP="00471F2E">
      <w:pPr>
        <w:pStyle w:val="berschrift3"/>
        <w:ind w:left="567"/>
      </w:pPr>
      <w:r w:rsidRPr="00471F2E">
        <w:t>Gefahrenhinweise</w:t>
      </w:r>
    </w:p>
    <w:p w14:paraId="0D220424" w14:textId="77777777" w:rsidR="00D72259" w:rsidRDefault="00D72259" w:rsidP="00471F2E">
      <w:pPr>
        <w:tabs>
          <w:tab w:val="clear" w:pos="5103"/>
          <w:tab w:val="right" w:pos="9000"/>
        </w:tabs>
        <w:ind w:left="567"/>
      </w:pPr>
      <w:r w:rsidRPr="009D20F5">
        <w:t>H226</w:t>
      </w:r>
      <w:r>
        <w:t xml:space="preserve"> </w:t>
      </w:r>
      <w:r w:rsidRPr="003F4582">
        <w:t>Flüssigkeit und Dampf entzündbar.</w:t>
      </w:r>
      <w:r w:rsidRPr="00517AA8">
        <w:rPr>
          <w:i/>
          <w:sz w:val="20"/>
          <w:szCs w:val="20"/>
        </w:rPr>
        <w:t xml:space="preserve"> </w:t>
      </w:r>
    </w:p>
    <w:p w14:paraId="6D058309" w14:textId="77777777" w:rsidR="00471F2E" w:rsidRDefault="00471F2E" w:rsidP="00471F2E">
      <w:pPr>
        <w:ind w:left="567"/>
        <w:rPr>
          <w:szCs w:val="22"/>
        </w:rPr>
      </w:pPr>
      <w:r w:rsidRPr="00E20DB6">
        <w:rPr>
          <w:szCs w:val="22"/>
        </w:rPr>
        <w:t xml:space="preserve">H319 Verursacht schwere Augenreizung. </w:t>
      </w:r>
    </w:p>
    <w:p w14:paraId="0780E5B0" w14:textId="77777777" w:rsidR="00B6020D" w:rsidRDefault="00471F2E" w:rsidP="00471F2E">
      <w:pPr>
        <w:ind w:left="567"/>
      </w:pPr>
      <w:r w:rsidRPr="00443BA5">
        <w:rPr>
          <w:szCs w:val="22"/>
        </w:rPr>
        <w:t>H33</w:t>
      </w:r>
      <w:r>
        <w:rPr>
          <w:szCs w:val="22"/>
        </w:rPr>
        <w:t xml:space="preserve">6 </w:t>
      </w:r>
      <w:r>
        <w:t xml:space="preserve">Kann Schläfrigkeit und Benommenheit verursachen. </w:t>
      </w:r>
    </w:p>
    <w:p w14:paraId="76F83653" w14:textId="77777777" w:rsidR="00280A6E" w:rsidRPr="00D47011" w:rsidRDefault="00280A6E" w:rsidP="00471F2E">
      <w:pPr>
        <w:pStyle w:val="berschrift3"/>
        <w:ind w:left="567"/>
      </w:pPr>
      <w:r>
        <w:t>Sicherheitshinweise</w:t>
      </w:r>
    </w:p>
    <w:p w14:paraId="2B49007F" w14:textId="77777777" w:rsidR="00471F2E" w:rsidRDefault="00471F2E" w:rsidP="00861F26">
      <w:pPr>
        <w:tabs>
          <w:tab w:val="clear" w:pos="2552"/>
          <w:tab w:val="left" w:pos="2410"/>
        </w:tabs>
        <w:ind w:left="2410" w:hanging="1843"/>
      </w:pPr>
      <w:r w:rsidRPr="00471F2E">
        <w:t xml:space="preserve">P102 </w:t>
      </w:r>
      <w:r>
        <w:tab/>
      </w:r>
      <w:r w:rsidRPr="00471F2E">
        <w:t>Darf nicht in die Hände von Kindern gelangen</w:t>
      </w:r>
    </w:p>
    <w:p w14:paraId="2AA4C2CF" w14:textId="77777777" w:rsidR="00232B0C" w:rsidRDefault="00232B0C" w:rsidP="00861F26">
      <w:pPr>
        <w:tabs>
          <w:tab w:val="clear" w:pos="2552"/>
          <w:tab w:val="left" w:pos="2410"/>
        </w:tabs>
        <w:ind w:left="2410" w:hanging="1843"/>
      </w:pPr>
      <w:r w:rsidRPr="00232B0C">
        <w:t xml:space="preserve">P210 </w:t>
      </w:r>
      <w:r>
        <w:tab/>
      </w:r>
      <w:r w:rsidRPr="00232B0C">
        <w:t xml:space="preserve">Von Hitze/Funken/offener Flamme/heißen Oberflächen fernhalten. Nicht rauchen. </w:t>
      </w:r>
    </w:p>
    <w:p w14:paraId="0DD23B4C" w14:textId="77777777" w:rsidR="00861F26" w:rsidRDefault="00861F26" w:rsidP="00861F26">
      <w:pPr>
        <w:tabs>
          <w:tab w:val="clear" w:pos="2552"/>
          <w:tab w:val="left" w:pos="1843"/>
          <w:tab w:val="left" w:pos="2410"/>
        </w:tabs>
        <w:ind w:left="2410" w:hanging="1843"/>
      </w:pPr>
      <w:r w:rsidRPr="00E20DB6">
        <w:t>P305+P351+P338</w:t>
      </w:r>
      <w:r w:rsidRPr="00E20DB6">
        <w:tab/>
        <w:t>BEI KONTAKT MIT DEN AUGEN: Einige Minuten lang behutsam mit Wasser spülen. Vorhandene Kontaktlinsen nach Möglichkeit entfernen. Weiter spülen.</w:t>
      </w:r>
    </w:p>
    <w:p w14:paraId="553979A5" w14:textId="77777777" w:rsidR="007A5FB7" w:rsidRDefault="007A5FB7" w:rsidP="007A5FB7">
      <w:pPr>
        <w:tabs>
          <w:tab w:val="left" w:pos="2410"/>
        </w:tabs>
        <w:ind w:left="2410" w:hanging="1843"/>
        <w:rPr>
          <w:szCs w:val="22"/>
        </w:rPr>
      </w:pPr>
      <w:r w:rsidRPr="00BD7118">
        <w:rPr>
          <w:szCs w:val="22"/>
        </w:rPr>
        <w:t>P337+P313</w:t>
      </w:r>
      <w:r>
        <w:rPr>
          <w:szCs w:val="22"/>
        </w:rPr>
        <w:tab/>
      </w:r>
      <w:r w:rsidRPr="00401635">
        <w:rPr>
          <w:szCs w:val="22"/>
        </w:rPr>
        <w:t>Bei anhaltender Augenreizung: Ärztlichen Rat einholen/ärztliche Hilfe hinzuziehen.</w:t>
      </w:r>
    </w:p>
    <w:p w14:paraId="18FCA123" w14:textId="77777777" w:rsidR="00861F26" w:rsidRDefault="00861F26" w:rsidP="00861F26">
      <w:pPr>
        <w:tabs>
          <w:tab w:val="clear" w:pos="2552"/>
          <w:tab w:val="left" w:pos="2410"/>
        </w:tabs>
        <w:ind w:left="2410" w:hanging="1843"/>
      </w:pPr>
      <w:r>
        <w:t>P301+P310</w:t>
      </w:r>
      <w:r>
        <w:tab/>
        <w:t>BEI VERSCHLUCKEN: Sofort GIFTINFORMATIONSZENTRUM oder Arzt anrufen.</w:t>
      </w:r>
    </w:p>
    <w:p w14:paraId="2EBE684C" w14:textId="77777777" w:rsidR="00B60AEA" w:rsidRDefault="00B60AEA" w:rsidP="00861F26">
      <w:pPr>
        <w:tabs>
          <w:tab w:val="clear" w:pos="2552"/>
          <w:tab w:val="left" w:pos="2410"/>
        </w:tabs>
        <w:ind w:left="2410" w:hanging="1843"/>
      </w:pPr>
      <w:r w:rsidRPr="00FC09C2">
        <w:t>P</w:t>
      </w:r>
      <w:r w:rsidR="00861F26">
        <w:t>50</w:t>
      </w:r>
      <w:r w:rsidRPr="00FC09C2">
        <w:t>1</w:t>
      </w:r>
      <w:r w:rsidRPr="00FC09C2">
        <w:tab/>
      </w:r>
      <w:r w:rsidR="00861F26" w:rsidRPr="00861F26">
        <w:t>Inhalt/ Behälter einer anerkannten Abfallentsorgungsanlage zuführen.</w:t>
      </w:r>
    </w:p>
    <w:p w14:paraId="59B4085F" w14:textId="77777777" w:rsidR="00280A6E" w:rsidRPr="00861F26" w:rsidRDefault="00861F26" w:rsidP="00861F26">
      <w:pPr>
        <w:pStyle w:val="berschrift3"/>
      </w:pPr>
      <w:r>
        <w:t>2.3</w:t>
      </w:r>
      <w:r>
        <w:tab/>
      </w:r>
      <w:r w:rsidR="00280A6E" w:rsidRPr="00861F26">
        <w:t>Sonstige Gefahren</w:t>
      </w:r>
    </w:p>
    <w:p w14:paraId="6AB1F967" w14:textId="77777777" w:rsidR="00280A6E" w:rsidRDefault="007A5FB7" w:rsidP="00861F26">
      <w:pPr>
        <w:ind w:left="567"/>
      </w:pPr>
      <w:r w:rsidRPr="007A5FB7">
        <w:t xml:space="preserve">Diese Mischung enthält </w:t>
      </w:r>
      <w:r w:rsidR="00117646">
        <w:t>Hexetidin</w:t>
      </w:r>
      <w:r w:rsidRPr="007A5FB7">
        <w:t xml:space="preserve"> in </w:t>
      </w:r>
      <w:r w:rsidR="00117646">
        <w:t xml:space="preserve">einer </w:t>
      </w:r>
      <w:r w:rsidR="0088391A">
        <w:t xml:space="preserve">Konzentrationen von ˃ 0,1 %. </w:t>
      </w:r>
      <w:r w:rsidR="0088391A">
        <w:br/>
      </w:r>
      <w:r w:rsidR="00CB55C2">
        <w:t>Hexetidin zeigt ein hohes Bioakkumulations-Poten</w:t>
      </w:r>
      <w:r w:rsidR="0088391A">
        <w:t>z</w:t>
      </w:r>
      <w:r w:rsidR="00CB55C2">
        <w:t>ial</w:t>
      </w:r>
      <w:r w:rsidRPr="007A5FB7">
        <w:t>.</w:t>
      </w:r>
      <w:r w:rsidR="00CB55C2">
        <w:t xml:space="preserve"> Siehe Punkt </w:t>
      </w:r>
      <w:r w:rsidR="00CB55C2" w:rsidRPr="00CB55C2">
        <w:t>12.</w:t>
      </w:r>
      <w:r w:rsidR="0088391A">
        <w:t>3</w:t>
      </w:r>
      <w:r w:rsidR="00CB55C2">
        <w:t xml:space="preserve"> </w:t>
      </w:r>
    </w:p>
    <w:p w14:paraId="48B9DCE7" w14:textId="77777777" w:rsidR="006000DA" w:rsidRDefault="006000DA">
      <w:pPr>
        <w:tabs>
          <w:tab w:val="clear" w:pos="2552"/>
          <w:tab w:val="clear" w:pos="5103"/>
        </w:tabs>
        <w:spacing w:before="0" w:after="200" w:line="276" w:lineRule="auto"/>
        <w:rPr>
          <w:rFonts w:cs="Arial"/>
          <w:bCs/>
          <w:iCs/>
          <w:sz w:val="32"/>
          <w:szCs w:val="28"/>
        </w:rPr>
      </w:pPr>
      <w:r>
        <w:br w:type="page"/>
      </w:r>
    </w:p>
    <w:p w14:paraId="1D5C66C2" w14:textId="77777777" w:rsidR="0053415C" w:rsidRPr="001E6D46" w:rsidRDefault="0053415C" w:rsidP="007003DF">
      <w:pPr>
        <w:pStyle w:val="berschrift2"/>
        <w:pBdr>
          <w:bottom w:val="single" w:sz="4" w:space="1" w:color="auto"/>
        </w:pBdr>
      </w:pPr>
      <w:r w:rsidRPr="001E6D46">
        <w:lastRenderedPageBreak/>
        <w:t>3</w:t>
      </w:r>
      <w:r w:rsidRPr="001E6D46">
        <w:tab/>
        <w:t>Zusammensetzung/Angaben zu Bestandteilen</w:t>
      </w:r>
    </w:p>
    <w:p w14:paraId="7CDED5F9" w14:textId="77777777" w:rsidR="00861F26" w:rsidRPr="00861F26" w:rsidRDefault="00861F26" w:rsidP="00506483">
      <w:pPr>
        <w:pStyle w:val="berschrift3"/>
      </w:pPr>
      <w:r>
        <w:t>3.2</w:t>
      </w:r>
      <w:r>
        <w:tab/>
        <w:t>Gemische</w:t>
      </w:r>
    </w:p>
    <w:p w14:paraId="0BC3A5D3" w14:textId="77777777" w:rsidR="0053415C" w:rsidRPr="00506483" w:rsidRDefault="0053415C" w:rsidP="008C45AD">
      <w:pPr>
        <w:pStyle w:val="berschrift3"/>
        <w:spacing w:before="0" w:after="120"/>
        <w:ind w:left="567"/>
      </w:pPr>
      <w:r w:rsidRPr="008C45AD">
        <w:rPr>
          <w:rStyle w:val="berschrift2Zchn"/>
          <w:rFonts w:eastAsiaTheme="majorEastAsia" w:cstheme="majorBidi"/>
          <w:bCs/>
          <w:iCs w:val="0"/>
          <w:sz w:val="28"/>
          <w:szCs w:val="24"/>
        </w:rPr>
        <w:t>Gefährliche</w:t>
      </w:r>
      <w:r w:rsidRPr="00506483">
        <w:rPr>
          <w:rStyle w:val="berschrift2Zchn"/>
          <w:rFonts w:eastAsiaTheme="majorEastAsia" w:cstheme="majorBidi"/>
          <w:bCs/>
          <w:iCs w:val="0"/>
          <w:sz w:val="28"/>
          <w:szCs w:val="24"/>
        </w:rPr>
        <w:t xml:space="preserve"> Stoffe: </w:t>
      </w:r>
    </w:p>
    <w:tbl>
      <w:tblPr>
        <w:tblStyle w:val="Tabellenraster1"/>
        <w:tblW w:w="0" w:type="auto"/>
        <w:tblInd w:w="108" w:type="dxa"/>
        <w:tblLook w:val="01E0" w:firstRow="1" w:lastRow="1" w:firstColumn="1" w:lastColumn="1" w:noHBand="0" w:noVBand="0"/>
      </w:tblPr>
      <w:tblGrid>
        <w:gridCol w:w="1547"/>
        <w:gridCol w:w="1109"/>
        <w:gridCol w:w="5367"/>
        <w:gridCol w:w="929"/>
      </w:tblGrid>
      <w:tr w:rsidR="00A93C50" w:rsidRPr="00506483" w14:paraId="7961169C" w14:textId="77777777" w:rsidTr="002D0518">
        <w:tc>
          <w:tcPr>
            <w:tcW w:w="1560" w:type="dxa"/>
          </w:tcPr>
          <w:p w14:paraId="6BBD4693" w14:textId="77777777" w:rsidR="00A93C50" w:rsidRPr="00506483" w:rsidRDefault="00506483" w:rsidP="002F3484">
            <w:pPr>
              <w:pStyle w:val="Default"/>
              <w:spacing w:after="60"/>
              <w:rPr>
                <w:rFonts w:asciiTheme="minorHAnsi" w:hAnsiTheme="minorHAnsi"/>
                <w:sz w:val="20"/>
                <w:szCs w:val="20"/>
              </w:rPr>
            </w:pPr>
            <w:r w:rsidRPr="00506483">
              <w:rPr>
                <w:rFonts w:asciiTheme="minorHAnsi" w:hAnsiTheme="minorHAnsi"/>
                <w:sz w:val="20"/>
                <w:szCs w:val="20"/>
              </w:rPr>
              <w:t xml:space="preserve">Bezeichnung </w:t>
            </w:r>
          </w:p>
        </w:tc>
        <w:tc>
          <w:tcPr>
            <w:tcW w:w="1134" w:type="dxa"/>
          </w:tcPr>
          <w:p w14:paraId="574954B6" w14:textId="77777777" w:rsidR="00A93C50" w:rsidRPr="00506483" w:rsidRDefault="00A93C50" w:rsidP="002F3484">
            <w:pPr>
              <w:spacing w:after="60"/>
              <w:jc w:val="center"/>
              <w:rPr>
                <w:rFonts w:asciiTheme="minorHAnsi" w:hAnsiTheme="minorHAnsi"/>
                <w:szCs w:val="20"/>
              </w:rPr>
            </w:pPr>
            <w:r w:rsidRPr="00506483">
              <w:rPr>
                <w:rFonts w:asciiTheme="minorHAnsi" w:hAnsiTheme="minorHAnsi"/>
                <w:szCs w:val="20"/>
              </w:rPr>
              <w:t>CAS-No.</w:t>
            </w:r>
          </w:p>
        </w:tc>
        <w:tc>
          <w:tcPr>
            <w:tcW w:w="5528" w:type="dxa"/>
          </w:tcPr>
          <w:p w14:paraId="3343A5C1" w14:textId="77777777" w:rsidR="00A93C50" w:rsidRPr="00506483" w:rsidRDefault="00A93C50" w:rsidP="002F3484">
            <w:pPr>
              <w:spacing w:after="60"/>
              <w:rPr>
                <w:rFonts w:asciiTheme="minorHAnsi" w:hAnsiTheme="minorHAnsi"/>
                <w:szCs w:val="20"/>
              </w:rPr>
            </w:pPr>
            <w:r w:rsidRPr="00506483">
              <w:rPr>
                <w:rFonts w:asciiTheme="minorHAnsi" w:hAnsiTheme="minorHAnsi"/>
                <w:szCs w:val="20"/>
              </w:rPr>
              <w:t xml:space="preserve">Einstufung gemäß VO (EG) Nr. 1272/2008 </w:t>
            </w:r>
          </w:p>
        </w:tc>
        <w:tc>
          <w:tcPr>
            <w:tcW w:w="946" w:type="dxa"/>
          </w:tcPr>
          <w:p w14:paraId="453ABC92" w14:textId="77777777" w:rsidR="00A93C50" w:rsidRPr="00506483" w:rsidRDefault="00A93C50" w:rsidP="002F3484">
            <w:pPr>
              <w:spacing w:after="60"/>
              <w:jc w:val="center"/>
              <w:rPr>
                <w:rFonts w:asciiTheme="minorHAnsi" w:hAnsiTheme="minorHAnsi"/>
                <w:szCs w:val="20"/>
              </w:rPr>
            </w:pPr>
            <w:r w:rsidRPr="00506483">
              <w:rPr>
                <w:rFonts w:asciiTheme="minorHAnsi" w:hAnsiTheme="minorHAnsi"/>
                <w:szCs w:val="20"/>
              </w:rPr>
              <w:t xml:space="preserve"> % </w:t>
            </w:r>
            <w:r w:rsidR="007003DF">
              <w:rPr>
                <w:rFonts w:asciiTheme="minorHAnsi" w:hAnsiTheme="minorHAnsi"/>
                <w:szCs w:val="20"/>
              </w:rPr>
              <w:t>w/w</w:t>
            </w:r>
          </w:p>
        </w:tc>
      </w:tr>
      <w:tr w:rsidR="00C20172" w:rsidRPr="00506483" w14:paraId="2F0D71BC" w14:textId="77777777" w:rsidTr="002D0518">
        <w:tblPrEx>
          <w:tblLook w:val="04A0" w:firstRow="1" w:lastRow="0" w:firstColumn="1" w:lastColumn="0" w:noHBand="0" w:noVBand="1"/>
        </w:tblPrEx>
        <w:trPr>
          <w:trHeight w:val="1085"/>
        </w:trPr>
        <w:tc>
          <w:tcPr>
            <w:tcW w:w="1560" w:type="dxa"/>
          </w:tcPr>
          <w:p w14:paraId="1CAD5C41" w14:textId="77777777" w:rsidR="00C20172" w:rsidRPr="00506483" w:rsidRDefault="00506483" w:rsidP="002F3484">
            <w:pPr>
              <w:spacing w:after="60"/>
              <w:rPr>
                <w:rFonts w:asciiTheme="minorHAnsi" w:hAnsiTheme="minorHAnsi"/>
                <w:szCs w:val="20"/>
              </w:rPr>
            </w:pPr>
            <w:r w:rsidRPr="00506483">
              <w:rPr>
                <w:rFonts w:asciiTheme="minorHAnsi" w:hAnsiTheme="minorHAnsi"/>
                <w:szCs w:val="20"/>
              </w:rPr>
              <w:t>Propan-2-ol</w:t>
            </w:r>
          </w:p>
        </w:tc>
        <w:tc>
          <w:tcPr>
            <w:tcW w:w="1134" w:type="dxa"/>
          </w:tcPr>
          <w:p w14:paraId="41B8ED93" w14:textId="77777777" w:rsidR="00C20172" w:rsidRPr="00506483" w:rsidRDefault="00506483" w:rsidP="002F3484">
            <w:pPr>
              <w:spacing w:after="60"/>
              <w:jc w:val="center"/>
              <w:rPr>
                <w:rFonts w:asciiTheme="minorHAnsi" w:hAnsiTheme="minorHAnsi"/>
                <w:szCs w:val="20"/>
              </w:rPr>
            </w:pPr>
            <w:r w:rsidRPr="00506483">
              <w:rPr>
                <w:rFonts w:asciiTheme="minorHAnsi" w:hAnsiTheme="minorHAnsi"/>
                <w:szCs w:val="20"/>
              </w:rPr>
              <w:t>67-63-0</w:t>
            </w:r>
          </w:p>
        </w:tc>
        <w:tc>
          <w:tcPr>
            <w:tcW w:w="5528" w:type="dxa"/>
          </w:tcPr>
          <w:p w14:paraId="6E7EF093" w14:textId="77777777" w:rsidR="00C20172" w:rsidRPr="00506483" w:rsidRDefault="00C20172" w:rsidP="002D0518">
            <w:pPr>
              <w:tabs>
                <w:tab w:val="clear" w:pos="2552"/>
                <w:tab w:val="left" w:pos="742"/>
                <w:tab w:val="left" w:pos="1167"/>
              </w:tabs>
              <w:spacing w:after="60"/>
              <w:rPr>
                <w:rFonts w:asciiTheme="minorHAnsi" w:hAnsiTheme="minorHAnsi"/>
                <w:szCs w:val="20"/>
              </w:rPr>
            </w:pPr>
            <w:r w:rsidRPr="00506483">
              <w:rPr>
                <w:rFonts w:asciiTheme="minorHAnsi" w:hAnsiTheme="minorHAnsi"/>
                <w:szCs w:val="20"/>
              </w:rPr>
              <w:t xml:space="preserve">Gefahr </w:t>
            </w:r>
            <w:r w:rsidRPr="00506483">
              <w:rPr>
                <w:rFonts w:asciiTheme="minorHAnsi" w:hAnsiTheme="minorHAnsi"/>
                <w:szCs w:val="20"/>
              </w:rPr>
              <w:tab/>
            </w:r>
            <w:r w:rsidRPr="00506483">
              <w:rPr>
                <w:noProof/>
                <w:szCs w:val="20"/>
                <w:lang w:val="de-DE"/>
              </w:rPr>
              <w:drawing>
                <wp:inline distT="0" distB="0" distL="0" distR="0" wp14:anchorId="2C2D56B3" wp14:editId="6263EA57">
                  <wp:extent cx="180000" cy="180258"/>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258"/>
                          </a:xfrm>
                          <a:prstGeom prst="rect">
                            <a:avLst/>
                          </a:prstGeom>
                        </pic:spPr>
                      </pic:pic>
                    </a:graphicData>
                  </a:graphic>
                </wp:inline>
              </w:drawing>
            </w:r>
            <w:r w:rsidR="00CE7288" w:rsidRPr="00506483">
              <w:rPr>
                <w:rFonts w:asciiTheme="minorHAnsi" w:hAnsiTheme="minorHAnsi"/>
                <w:szCs w:val="20"/>
              </w:rPr>
              <w:tab/>
            </w:r>
            <w:r w:rsidRPr="00506483">
              <w:rPr>
                <w:rFonts w:asciiTheme="minorHAnsi" w:hAnsiTheme="minorHAnsi"/>
                <w:szCs w:val="20"/>
              </w:rPr>
              <w:t>2.6/2 Leicht entzündbare Flüssigkeit. H225</w:t>
            </w:r>
            <w:r w:rsidR="00CE7288">
              <w:rPr>
                <w:rFonts w:asciiTheme="minorHAnsi" w:hAnsiTheme="minorHAnsi"/>
                <w:szCs w:val="20"/>
              </w:rPr>
              <w:br/>
            </w:r>
            <w:r w:rsidR="006000DA" w:rsidRPr="00506483">
              <w:rPr>
                <w:rFonts w:asciiTheme="minorHAnsi" w:hAnsiTheme="minorHAnsi"/>
                <w:szCs w:val="20"/>
              </w:rPr>
              <w:t xml:space="preserve">Achtung </w:t>
            </w:r>
            <w:r w:rsidR="006000DA" w:rsidRPr="00506483">
              <w:rPr>
                <w:rFonts w:asciiTheme="minorHAnsi" w:hAnsiTheme="minorHAnsi"/>
                <w:szCs w:val="20"/>
              </w:rPr>
              <w:tab/>
            </w:r>
            <w:r w:rsidR="006000DA" w:rsidRPr="00506483">
              <w:rPr>
                <w:noProof/>
                <w:szCs w:val="20"/>
                <w:lang w:val="de-DE"/>
              </w:rPr>
              <w:drawing>
                <wp:inline distT="0" distB="0" distL="0" distR="0" wp14:anchorId="2E21F93A" wp14:editId="6862F5F1">
                  <wp:extent cx="180000" cy="179742"/>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00CE7288" w:rsidRPr="00506483">
              <w:rPr>
                <w:rFonts w:asciiTheme="minorHAnsi" w:hAnsiTheme="minorHAnsi"/>
                <w:szCs w:val="20"/>
              </w:rPr>
              <w:tab/>
              <w:t xml:space="preserve">3.3/2 </w:t>
            </w:r>
            <w:r w:rsidR="002D0518" w:rsidRPr="002D0518">
              <w:rPr>
                <w:rFonts w:asciiTheme="minorHAnsi" w:hAnsiTheme="minorHAnsi"/>
                <w:szCs w:val="20"/>
              </w:rPr>
              <w:t xml:space="preserve">Verursacht </w:t>
            </w:r>
            <w:r w:rsidR="00CE7288" w:rsidRPr="00506483">
              <w:rPr>
                <w:rFonts w:asciiTheme="minorHAnsi" w:hAnsiTheme="minorHAnsi"/>
                <w:szCs w:val="20"/>
              </w:rPr>
              <w:t>schwere Augenreizung, H319</w:t>
            </w:r>
            <w:r w:rsidR="00CE7288">
              <w:rPr>
                <w:rFonts w:asciiTheme="minorHAnsi" w:hAnsiTheme="minorHAnsi"/>
                <w:szCs w:val="20"/>
              </w:rPr>
              <w:br/>
            </w:r>
            <w:r w:rsidR="00CE7288" w:rsidRPr="00506483">
              <w:rPr>
                <w:rFonts w:asciiTheme="minorHAnsi" w:hAnsiTheme="minorHAnsi"/>
                <w:szCs w:val="20"/>
              </w:rPr>
              <w:tab/>
            </w:r>
            <w:r w:rsidR="00CE7288" w:rsidRPr="00506483">
              <w:rPr>
                <w:rFonts w:asciiTheme="minorHAnsi" w:hAnsiTheme="minorHAnsi"/>
                <w:szCs w:val="20"/>
              </w:rPr>
              <w:tab/>
            </w:r>
            <w:r w:rsidR="007A5FB7" w:rsidRPr="007A5FB7">
              <w:rPr>
                <w:rFonts w:asciiTheme="minorHAnsi" w:hAnsiTheme="minorHAnsi"/>
                <w:szCs w:val="20"/>
              </w:rPr>
              <w:t>3.8/3 K</w:t>
            </w:r>
            <w:r w:rsidR="00CE7288" w:rsidRPr="007A5FB7">
              <w:rPr>
                <w:rFonts w:asciiTheme="minorHAnsi" w:hAnsiTheme="minorHAnsi"/>
                <w:szCs w:val="20"/>
              </w:rPr>
              <w:t xml:space="preserve">ann Schläfrigkeit </w:t>
            </w:r>
            <w:r w:rsidR="00CE7288" w:rsidRPr="00CE7288">
              <w:rPr>
                <w:rFonts w:asciiTheme="minorHAnsi" w:hAnsiTheme="minorHAnsi"/>
                <w:szCs w:val="20"/>
              </w:rPr>
              <w:t xml:space="preserve">und Benommenheit </w:t>
            </w:r>
            <w:r w:rsidR="00CE7288">
              <w:rPr>
                <w:rFonts w:asciiTheme="minorHAnsi" w:hAnsiTheme="minorHAnsi"/>
                <w:szCs w:val="20"/>
              </w:rPr>
              <w:br/>
            </w:r>
            <w:r w:rsidR="00CE7288" w:rsidRPr="00506483">
              <w:rPr>
                <w:rFonts w:asciiTheme="minorHAnsi" w:hAnsiTheme="minorHAnsi"/>
                <w:szCs w:val="20"/>
              </w:rPr>
              <w:tab/>
            </w:r>
            <w:r w:rsidR="00CE7288" w:rsidRPr="00506483">
              <w:rPr>
                <w:rFonts w:asciiTheme="minorHAnsi" w:hAnsiTheme="minorHAnsi"/>
                <w:szCs w:val="20"/>
              </w:rPr>
              <w:tab/>
            </w:r>
            <w:r w:rsidR="00CE7288" w:rsidRPr="00CE7288">
              <w:rPr>
                <w:rFonts w:asciiTheme="minorHAnsi" w:hAnsiTheme="minorHAnsi"/>
                <w:szCs w:val="20"/>
              </w:rPr>
              <w:t>verursachen</w:t>
            </w:r>
            <w:r w:rsidR="00CE7288">
              <w:rPr>
                <w:rFonts w:asciiTheme="minorHAnsi" w:hAnsiTheme="minorHAnsi"/>
                <w:szCs w:val="20"/>
              </w:rPr>
              <w:t xml:space="preserve">, </w:t>
            </w:r>
            <w:r w:rsidR="00CE7288" w:rsidRPr="00CE7288">
              <w:rPr>
                <w:rFonts w:asciiTheme="minorHAnsi" w:hAnsiTheme="minorHAnsi"/>
                <w:szCs w:val="20"/>
              </w:rPr>
              <w:t>H336</w:t>
            </w:r>
          </w:p>
        </w:tc>
        <w:tc>
          <w:tcPr>
            <w:tcW w:w="946" w:type="dxa"/>
          </w:tcPr>
          <w:p w14:paraId="16E01EE2" w14:textId="77777777" w:rsidR="00C20172" w:rsidRPr="00506483" w:rsidRDefault="006A2206" w:rsidP="002F3484">
            <w:pPr>
              <w:spacing w:after="60"/>
              <w:jc w:val="center"/>
              <w:rPr>
                <w:rFonts w:asciiTheme="minorHAnsi" w:hAnsiTheme="minorHAnsi"/>
                <w:szCs w:val="20"/>
              </w:rPr>
            </w:pPr>
            <w:r>
              <w:rPr>
                <w:rFonts w:asciiTheme="minorHAnsi" w:hAnsiTheme="minorHAnsi"/>
                <w:szCs w:val="20"/>
              </w:rPr>
              <w:t>B</w:t>
            </w:r>
          </w:p>
        </w:tc>
      </w:tr>
      <w:tr w:rsidR="00CE7288" w:rsidRPr="00506483" w14:paraId="1C13F652" w14:textId="77777777" w:rsidTr="002D0518">
        <w:tc>
          <w:tcPr>
            <w:tcW w:w="1560" w:type="dxa"/>
          </w:tcPr>
          <w:p w14:paraId="31D10487" w14:textId="77777777" w:rsidR="00CE7288" w:rsidRPr="00506483" w:rsidRDefault="00CE7288" w:rsidP="002F3484">
            <w:pPr>
              <w:spacing w:after="60"/>
              <w:rPr>
                <w:rFonts w:asciiTheme="minorHAnsi" w:hAnsiTheme="minorHAnsi"/>
                <w:szCs w:val="20"/>
              </w:rPr>
            </w:pPr>
            <w:r w:rsidRPr="00506483">
              <w:rPr>
                <w:rFonts w:asciiTheme="minorHAnsi" w:hAnsiTheme="minorHAnsi"/>
                <w:szCs w:val="20"/>
              </w:rPr>
              <w:t>Propan-1-ol</w:t>
            </w:r>
          </w:p>
        </w:tc>
        <w:tc>
          <w:tcPr>
            <w:tcW w:w="1134" w:type="dxa"/>
          </w:tcPr>
          <w:p w14:paraId="3AA7709B" w14:textId="77777777" w:rsidR="00CE7288" w:rsidRPr="00506483" w:rsidRDefault="00CE7288" w:rsidP="002F3484">
            <w:pPr>
              <w:spacing w:after="60"/>
              <w:jc w:val="center"/>
              <w:rPr>
                <w:rFonts w:asciiTheme="minorHAnsi" w:hAnsiTheme="minorHAnsi"/>
                <w:szCs w:val="20"/>
              </w:rPr>
            </w:pPr>
            <w:r w:rsidRPr="00CE7288">
              <w:rPr>
                <w:rFonts w:asciiTheme="minorHAnsi" w:hAnsiTheme="minorHAnsi"/>
                <w:szCs w:val="20"/>
              </w:rPr>
              <w:t>71-23-8</w:t>
            </w:r>
          </w:p>
        </w:tc>
        <w:tc>
          <w:tcPr>
            <w:tcW w:w="5528" w:type="dxa"/>
          </w:tcPr>
          <w:p w14:paraId="4497C1AD" w14:textId="77777777" w:rsidR="00CE7288" w:rsidRPr="00506483" w:rsidRDefault="00CE7288" w:rsidP="002D0518">
            <w:pPr>
              <w:tabs>
                <w:tab w:val="clear" w:pos="2552"/>
                <w:tab w:val="left" w:pos="742"/>
                <w:tab w:val="left" w:pos="1167"/>
              </w:tabs>
              <w:spacing w:after="60"/>
              <w:rPr>
                <w:rFonts w:asciiTheme="minorHAnsi" w:hAnsiTheme="minorHAnsi"/>
                <w:szCs w:val="20"/>
              </w:rPr>
            </w:pPr>
            <w:r w:rsidRPr="00506483">
              <w:rPr>
                <w:rFonts w:asciiTheme="minorHAnsi" w:hAnsiTheme="minorHAnsi"/>
                <w:szCs w:val="20"/>
              </w:rPr>
              <w:t xml:space="preserve">Gefahr </w:t>
            </w:r>
            <w:r w:rsidRPr="00506483">
              <w:rPr>
                <w:rFonts w:asciiTheme="minorHAnsi" w:hAnsiTheme="minorHAnsi"/>
                <w:szCs w:val="20"/>
              </w:rPr>
              <w:tab/>
            </w:r>
            <w:r w:rsidRPr="00506483">
              <w:rPr>
                <w:noProof/>
                <w:szCs w:val="20"/>
                <w:lang w:val="de-DE"/>
              </w:rPr>
              <w:drawing>
                <wp:inline distT="0" distB="0" distL="0" distR="0" wp14:anchorId="37821084" wp14:editId="13C07C5C">
                  <wp:extent cx="180000" cy="180258"/>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258"/>
                          </a:xfrm>
                          <a:prstGeom prst="rect">
                            <a:avLst/>
                          </a:prstGeom>
                        </pic:spPr>
                      </pic:pic>
                    </a:graphicData>
                  </a:graphic>
                </wp:inline>
              </w:drawing>
            </w:r>
            <w:r w:rsidRPr="00506483">
              <w:rPr>
                <w:rFonts w:asciiTheme="minorHAnsi" w:hAnsiTheme="minorHAnsi"/>
                <w:szCs w:val="20"/>
              </w:rPr>
              <w:tab/>
              <w:t>2.6/2 Leicht entzündbare Flüssigkeit. H225</w:t>
            </w:r>
            <w:r>
              <w:rPr>
                <w:rFonts w:asciiTheme="minorHAnsi" w:hAnsiTheme="minorHAnsi"/>
                <w:szCs w:val="20"/>
              </w:rPr>
              <w:br/>
            </w:r>
            <w:r w:rsidR="006000DA" w:rsidRPr="00506483">
              <w:rPr>
                <w:rFonts w:asciiTheme="minorHAnsi" w:hAnsiTheme="minorHAnsi"/>
                <w:szCs w:val="20"/>
              </w:rPr>
              <w:t xml:space="preserve">Achtung </w:t>
            </w:r>
            <w:r w:rsidR="006000DA" w:rsidRPr="00506483">
              <w:rPr>
                <w:rFonts w:asciiTheme="minorHAnsi" w:hAnsiTheme="minorHAnsi"/>
                <w:szCs w:val="20"/>
              </w:rPr>
              <w:tab/>
            </w:r>
            <w:r w:rsidR="006000DA" w:rsidRPr="00506483">
              <w:rPr>
                <w:noProof/>
                <w:szCs w:val="20"/>
                <w:lang w:val="de-DE"/>
              </w:rPr>
              <w:drawing>
                <wp:inline distT="0" distB="0" distL="0" distR="0" wp14:anchorId="5A6F982F" wp14:editId="062E16D9">
                  <wp:extent cx="180000" cy="179742"/>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Pr="00506483">
              <w:rPr>
                <w:rFonts w:asciiTheme="minorHAnsi" w:hAnsiTheme="minorHAnsi"/>
                <w:szCs w:val="20"/>
              </w:rPr>
              <w:tab/>
            </w:r>
            <w:r w:rsidRPr="002D0518">
              <w:rPr>
                <w:rFonts w:asciiTheme="minorHAnsi" w:hAnsiTheme="minorHAnsi"/>
                <w:szCs w:val="20"/>
              </w:rPr>
              <w:t>3.3/</w:t>
            </w:r>
            <w:r w:rsidR="006D7283" w:rsidRPr="002D0518">
              <w:rPr>
                <w:rFonts w:asciiTheme="minorHAnsi" w:hAnsiTheme="minorHAnsi"/>
                <w:szCs w:val="20"/>
              </w:rPr>
              <w:t>1</w:t>
            </w:r>
            <w:r w:rsidRPr="002D0518">
              <w:rPr>
                <w:rFonts w:asciiTheme="minorHAnsi" w:hAnsiTheme="minorHAnsi"/>
                <w:szCs w:val="20"/>
              </w:rPr>
              <w:t xml:space="preserve"> </w:t>
            </w:r>
            <w:r w:rsidR="002D0518" w:rsidRPr="002D0518">
              <w:rPr>
                <w:rFonts w:asciiTheme="minorHAnsi" w:hAnsiTheme="minorHAnsi"/>
                <w:szCs w:val="20"/>
              </w:rPr>
              <w:t>Verursacht schwere Augenschäden</w:t>
            </w:r>
            <w:r w:rsidRPr="002D0518">
              <w:rPr>
                <w:rFonts w:asciiTheme="minorHAnsi" w:hAnsiTheme="minorHAnsi"/>
                <w:szCs w:val="20"/>
              </w:rPr>
              <w:t>, H31</w:t>
            </w:r>
            <w:r w:rsidR="006D7283" w:rsidRPr="002D0518">
              <w:rPr>
                <w:rFonts w:asciiTheme="minorHAnsi" w:hAnsiTheme="minorHAnsi"/>
                <w:szCs w:val="20"/>
              </w:rPr>
              <w:t>8</w:t>
            </w:r>
            <w:r>
              <w:rPr>
                <w:rFonts w:asciiTheme="minorHAnsi" w:hAnsiTheme="minorHAnsi"/>
                <w:szCs w:val="20"/>
              </w:rPr>
              <w:br/>
            </w:r>
            <w:r w:rsidRPr="00506483">
              <w:rPr>
                <w:rFonts w:asciiTheme="minorHAnsi" w:hAnsiTheme="minorHAnsi"/>
                <w:szCs w:val="20"/>
              </w:rPr>
              <w:tab/>
            </w:r>
            <w:r w:rsidRPr="00506483">
              <w:rPr>
                <w:rFonts w:asciiTheme="minorHAnsi" w:hAnsiTheme="minorHAnsi"/>
                <w:szCs w:val="20"/>
              </w:rPr>
              <w:tab/>
            </w:r>
            <w:r w:rsidR="007A5FB7" w:rsidRPr="007A5FB7">
              <w:rPr>
                <w:rFonts w:asciiTheme="minorHAnsi" w:hAnsiTheme="minorHAnsi"/>
                <w:szCs w:val="20"/>
              </w:rPr>
              <w:t xml:space="preserve">3.8/3 Kann Schläfrigkeit </w:t>
            </w:r>
            <w:r w:rsidR="007A5FB7" w:rsidRPr="00CE7288">
              <w:rPr>
                <w:rFonts w:asciiTheme="minorHAnsi" w:hAnsiTheme="minorHAnsi"/>
                <w:szCs w:val="20"/>
              </w:rPr>
              <w:t xml:space="preserve">und Benommenheit </w:t>
            </w:r>
            <w:r w:rsidR="007A5FB7">
              <w:rPr>
                <w:rFonts w:asciiTheme="minorHAnsi" w:hAnsiTheme="minorHAnsi"/>
                <w:szCs w:val="20"/>
              </w:rPr>
              <w:br/>
            </w:r>
            <w:r w:rsidR="007A5FB7" w:rsidRPr="00506483">
              <w:rPr>
                <w:rFonts w:asciiTheme="minorHAnsi" w:hAnsiTheme="minorHAnsi"/>
                <w:szCs w:val="20"/>
              </w:rPr>
              <w:tab/>
            </w:r>
            <w:r w:rsidR="007A5FB7" w:rsidRPr="00506483">
              <w:rPr>
                <w:rFonts w:asciiTheme="minorHAnsi" w:hAnsiTheme="minorHAnsi"/>
                <w:szCs w:val="20"/>
              </w:rPr>
              <w:tab/>
            </w:r>
            <w:r w:rsidR="007A5FB7" w:rsidRPr="00CE7288">
              <w:rPr>
                <w:rFonts w:asciiTheme="minorHAnsi" w:hAnsiTheme="minorHAnsi"/>
                <w:szCs w:val="20"/>
              </w:rPr>
              <w:t>verursachen</w:t>
            </w:r>
            <w:r w:rsidR="007A5FB7">
              <w:rPr>
                <w:rFonts w:asciiTheme="minorHAnsi" w:hAnsiTheme="minorHAnsi"/>
                <w:szCs w:val="20"/>
              </w:rPr>
              <w:t xml:space="preserve">, </w:t>
            </w:r>
            <w:r w:rsidR="007A5FB7" w:rsidRPr="00CE7288">
              <w:rPr>
                <w:rFonts w:asciiTheme="minorHAnsi" w:hAnsiTheme="minorHAnsi"/>
                <w:szCs w:val="20"/>
              </w:rPr>
              <w:t>H336</w:t>
            </w:r>
          </w:p>
        </w:tc>
        <w:tc>
          <w:tcPr>
            <w:tcW w:w="946" w:type="dxa"/>
          </w:tcPr>
          <w:p w14:paraId="0CEDDBBF" w14:textId="77777777" w:rsidR="00CE7288" w:rsidRPr="00506483" w:rsidRDefault="006A2206" w:rsidP="002F3484">
            <w:pPr>
              <w:spacing w:after="60"/>
              <w:jc w:val="center"/>
              <w:rPr>
                <w:rFonts w:asciiTheme="minorHAnsi" w:hAnsiTheme="minorHAnsi"/>
                <w:szCs w:val="20"/>
              </w:rPr>
            </w:pPr>
            <w:r>
              <w:rPr>
                <w:rFonts w:asciiTheme="minorHAnsi" w:hAnsiTheme="minorHAnsi"/>
                <w:szCs w:val="20"/>
              </w:rPr>
              <w:t>B</w:t>
            </w:r>
          </w:p>
        </w:tc>
      </w:tr>
      <w:tr w:rsidR="00A93C50" w:rsidRPr="00506483" w14:paraId="4BE89401" w14:textId="77777777" w:rsidTr="002D0518">
        <w:tc>
          <w:tcPr>
            <w:tcW w:w="1560" w:type="dxa"/>
          </w:tcPr>
          <w:p w14:paraId="44DD69A7" w14:textId="77777777" w:rsidR="00A93C50" w:rsidRPr="00506483" w:rsidRDefault="00506483" w:rsidP="002F3484">
            <w:pPr>
              <w:spacing w:after="60"/>
              <w:rPr>
                <w:rFonts w:asciiTheme="minorHAnsi" w:hAnsiTheme="minorHAnsi"/>
                <w:szCs w:val="20"/>
              </w:rPr>
            </w:pPr>
            <w:r w:rsidRPr="00506483">
              <w:rPr>
                <w:rFonts w:asciiTheme="minorHAnsi" w:hAnsiTheme="minorHAnsi"/>
                <w:szCs w:val="20"/>
              </w:rPr>
              <w:t>Hexetidin</w:t>
            </w:r>
          </w:p>
        </w:tc>
        <w:tc>
          <w:tcPr>
            <w:tcW w:w="1134" w:type="dxa"/>
          </w:tcPr>
          <w:p w14:paraId="7D2AF88A" w14:textId="77777777" w:rsidR="00A93C50" w:rsidRPr="00506483" w:rsidRDefault="00CE7288" w:rsidP="002F3484">
            <w:pPr>
              <w:spacing w:after="60"/>
              <w:jc w:val="center"/>
              <w:rPr>
                <w:rFonts w:asciiTheme="minorHAnsi" w:hAnsiTheme="minorHAnsi"/>
                <w:szCs w:val="20"/>
              </w:rPr>
            </w:pPr>
            <w:r w:rsidRPr="00CE7288">
              <w:rPr>
                <w:rFonts w:asciiTheme="minorHAnsi" w:hAnsiTheme="minorHAnsi"/>
                <w:szCs w:val="20"/>
              </w:rPr>
              <w:t>141-94-6</w:t>
            </w:r>
          </w:p>
        </w:tc>
        <w:tc>
          <w:tcPr>
            <w:tcW w:w="5528" w:type="dxa"/>
          </w:tcPr>
          <w:p w14:paraId="748DD445" w14:textId="77777777" w:rsidR="00117646" w:rsidRPr="00506483" w:rsidRDefault="002D0518" w:rsidP="00D614BD">
            <w:pPr>
              <w:tabs>
                <w:tab w:val="clear" w:pos="2552"/>
                <w:tab w:val="left" w:pos="743"/>
                <w:tab w:val="left" w:pos="1103"/>
              </w:tabs>
              <w:spacing w:after="60"/>
              <w:rPr>
                <w:rFonts w:asciiTheme="minorHAnsi" w:hAnsiTheme="minorHAnsi"/>
                <w:szCs w:val="20"/>
              </w:rPr>
            </w:pPr>
            <w:r w:rsidRPr="00506483">
              <w:rPr>
                <w:rFonts w:asciiTheme="minorHAnsi" w:hAnsiTheme="minorHAnsi"/>
                <w:szCs w:val="20"/>
              </w:rPr>
              <w:t>Gefahr</w:t>
            </w:r>
            <w:r w:rsidR="00967EEE" w:rsidRPr="00506483">
              <w:rPr>
                <w:rFonts w:asciiTheme="minorHAnsi" w:hAnsiTheme="minorHAnsi"/>
                <w:szCs w:val="20"/>
              </w:rPr>
              <w:t xml:space="preserve"> </w:t>
            </w:r>
            <w:r w:rsidR="00967EEE" w:rsidRPr="00506483">
              <w:rPr>
                <w:rFonts w:asciiTheme="minorHAnsi" w:hAnsiTheme="minorHAnsi"/>
                <w:szCs w:val="20"/>
              </w:rPr>
              <w:tab/>
            </w:r>
            <w:r>
              <w:rPr>
                <w:noProof/>
                <w:szCs w:val="20"/>
                <w:lang w:val="de-DE"/>
              </w:rPr>
              <w:drawing>
                <wp:inline distT="0" distB="0" distL="0" distR="0" wp14:anchorId="312F3928" wp14:editId="7BB0817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_corrosion.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967EEE" w:rsidRPr="00506483">
              <w:rPr>
                <w:rFonts w:asciiTheme="minorHAnsi" w:hAnsiTheme="minorHAnsi"/>
                <w:szCs w:val="20"/>
              </w:rPr>
              <w:tab/>
              <w:t xml:space="preserve">3.1/4 </w:t>
            </w:r>
            <w:r w:rsidR="006000DA" w:rsidRPr="006000DA">
              <w:rPr>
                <w:rFonts w:asciiTheme="minorHAnsi" w:hAnsiTheme="minorHAnsi"/>
                <w:szCs w:val="20"/>
              </w:rPr>
              <w:t>Gesundheitsschädlich</w:t>
            </w:r>
            <w:r w:rsidR="006000DA">
              <w:rPr>
                <w:rFonts w:asciiTheme="minorHAnsi" w:hAnsiTheme="minorHAnsi"/>
                <w:szCs w:val="20"/>
              </w:rPr>
              <w:t xml:space="preserve"> </w:t>
            </w:r>
            <w:r w:rsidR="006000DA" w:rsidRPr="006000DA">
              <w:rPr>
                <w:rFonts w:asciiTheme="minorHAnsi" w:hAnsiTheme="minorHAnsi"/>
                <w:szCs w:val="20"/>
              </w:rPr>
              <w:t>bei Verschlucken</w:t>
            </w:r>
            <w:r w:rsidR="00967EEE" w:rsidRPr="00506483">
              <w:rPr>
                <w:rFonts w:asciiTheme="minorHAnsi" w:hAnsiTheme="minorHAnsi"/>
                <w:szCs w:val="20"/>
              </w:rPr>
              <w:t>,</w:t>
            </w:r>
            <w:r w:rsidRPr="00506483">
              <w:rPr>
                <w:rFonts w:asciiTheme="minorHAnsi" w:hAnsiTheme="minorHAnsi"/>
                <w:szCs w:val="20"/>
              </w:rPr>
              <w:t xml:space="preserve"> H302</w:t>
            </w:r>
            <w:r w:rsidR="00D614BD" w:rsidRPr="00506483">
              <w:rPr>
                <w:rFonts w:asciiTheme="minorHAnsi" w:hAnsiTheme="minorHAnsi"/>
                <w:szCs w:val="20"/>
              </w:rPr>
              <w:tab/>
            </w:r>
            <w:r w:rsidR="00967EEE" w:rsidRPr="00506483">
              <w:rPr>
                <w:rFonts w:asciiTheme="minorHAnsi" w:hAnsiTheme="minorHAnsi"/>
                <w:szCs w:val="20"/>
              </w:rPr>
              <w:tab/>
              <w:t xml:space="preserve">3.1/4 </w:t>
            </w:r>
            <w:r w:rsidR="006000DA" w:rsidRPr="006000DA">
              <w:rPr>
                <w:rFonts w:asciiTheme="minorHAnsi" w:hAnsiTheme="minorHAnsi"/>
                <w:szCs w:val="20"/>
              </w:rPr>
              <w:t>Gesundheitsschädlich</w:t>
            </w:r>
            <w:r w:rsidR="006000DA">
              <w:rPr>
                <w:rFonts w:asciiTheme="minorHAnsi" w:hAnsiTheme="minorHAnsi"/>
                <w:szCs w:val="20"/>
              </w:rPr>
              <w:t xml:space="preserve"> </w:t>
            </w:r>
            <w:r w:rsidR="006000DA" w:rsidRPr="006000DA">
              <w:rPr>
                <w:rFonts w:asciiTheme="minorHAnsi" w:hAnsiTheme="minorHAnsi"/>
                <w:szCs w:val="20"/>
              </w:rPr>
              <w:t>bei</w:t>
            </w:r>
            <w:r w:rsidR="006000DA">
              <w:rPr>
                <w:rFonts w:asciiTheme="minorHAnsi" w:hAnsiTheme="minorHAnsi"/>
                <w:szCs w:val="20"/>
              </w:rPr>
              <w:t xml:space="preserve"> </w:t>
            </w:r>
            <w:r w:rsidR="006000DA" w:rsidRPr="006000DA">
              <w:rPr>
                <w:rFonts w:asciiTheme="minorHAnsi" w:hAnsiTheme="minorHAnsi"/>
                <w:szCs w:val="20"/>
              </w:rPr>
              <w:t>Hautkontakt</w:t>
            </w:r>
            <w:r w:rsidR="00967EEE" w:rsidRPr="00506483">
              <w:rPr>
                <w:rFonts w:asciiTheme="minorHAnsi" w:hAnsiTheme="minorHAnsi"/>
                <w:szCs w:val="20"/>
              </w:rPr>
              <w:t xml:space="preserve">, </w:t>
            </w:r>
            <w:r w:rsidRPr="00506483">
              <w:rPr>
                <w:rFonts w:asciiTheme="minorHAnsi" w:hAnsiTheme="minorHAnsi"/>
                <w:szCs w:val="20"/>
              </w:rPr>
              <w:t>H312</w:t>
            </w:r>
            <w:r w:rsidR="006000DA">
              <w:rPr>
                <w:rFonts w:asciiTheme="minorHAnsi" w:hAnsiTheme="minorHAnsi"/>
                <w:szCs w:val="20"/>
              </w:rPr>
              <w:br/>
            </w:r>
            <w:r w:rsidR="00D614BD" w:rsidRPr="00506483">
              <w:rPr>
                <w:rFonts w:asciiTheme="minorHAnsi" w:hAnsiTheme="minorHAnsi"/>
                <w:szCs w:val="20"/>
              </w:rPr>
              <w:tab/>
            </w:r>
            <w:r w:rsidR="00D614BD" w:rsidRPr="00506483">
              <w:rPr>
                <w:rFonts w:asciiTheme="minorHAnsi" w:hAnsiTheme="minorHAnsi"/>
                <w:szCs w:val="20"/>
              </w:rPr>
              <w:tab/>
            </w:r>
            <w:r w:rsidR="00D614BD">
              <w:rPr>
                <w:rFonts w:asciiTheme="minorHAnsi" w:hAnsiTheme="minorHAnsi"/>
                <w:szCs w:val="20"/>
              </w:rPr>
              <w:t xml:space="preserve">3.1/4 </w:t>
            </w:r>
            <w:r w:rsidR="00D614BD" w:rsidRPr="006000DA">
              <w:rPr>
                <w:rFonts w:asciiTheme="minorHAnsi" w:hAnsiTheme="minorHAnsi"/>
                <w:szCs w:val="20"/>
              </w:rPr>
              <w:t>Gesundheitsschädlich</w:t>
            </w:r>
            <w:r w:rsidR="00D614BD">
              <w:rPr>
                <w:rFonts w:asciiTheme="minorHAnsi" w:hAnsiTheme="minorHAnsi"/>
                <w:szCs w:val="20"/>
              </w:rPr>
              <w:t xml:space="preserve"> </w:t>
            </w:r>
            <w:r w:rsidR="00D614BD" w:rsidRPr="006000DA">
              <w:rPr>
                <w:rFonts w:asciiTheme="minorHAnsi" w:hAnsiTheme="minorHAnsi"/>
                <w:szCs w:val="20"/>
              </w:rPr>
              <w:t>bei</w:t>
            </w:r>
            <w:r w:rsidR="00D614BD">
              <w:rPr>
                <w:rFonts w:asciiTheme="minorHAnsi" w:hAnsiTheme="minorHAnsi"/>
                <w:szCs w:val="20"/>
              </w:rPr>
              <w:t xml:space="preserve"> </w:t>
            </w:r>
            <w:r w:rsidR="00D614BD" w:rsidRPr="006000DA">
              <w:rPr>
                <w:rFonts w:asciiTheme="minorHAnsi" w:hAnsiTheme="minorHAnsi"/>
                <w:szCs w:val="20"/>
              </w:rPr>
              <w:t>Einatmen</w:t>
            </w:r>
            <w:r w:rsidR="00D614BD">
              <w:rPr>
                <w:rFonts w:asciiTheme="minorHAnsi" w:hAnsiTheme="minorHAnsi"/>
                <w:szCs w:val="20"/>
              </w:rPr>
              <w:t>, H332</w:t>
            </w:r>
            <w:r w:rsidR="00D614BD" w:rsidRPr="00506483">
              <w:rPr>
                <w:rFonts w:asciiTheme="minorHAnsi" w:hAnsiTheme="minorHAnsi"/>
                <w:szCs w:val="20"/>
              </w:rPr>
              <w:br/>
            </w:r>
            <w:r w:rsidRPr="00506483">
              <w:rPr>
                <w:rFonts w:asciiTheme="minorHAnsi" w:hAnsiTheme="minorHAnsi"/>
                <w:szCs w:val="20"/>
              </w:rPr>
              <w:t xml:space="preserve">Achtung </w:t>
            </w:r>
            <w:r w:rsidRPr="00506483">
              <w:rPr>
                <w:rFonts w:asciiTheme="minorHAnsi" w:hAnsiTheme="minorHAnsi"/>
                <w:szCs w:val="20"/>
              </w:rPr>
              <w:tab/>
            </w:r>
            <w:r w:rsidRPr="00506483">
              <w:rPr>
                <w:noProof/>
                <w:szCs w:val="20"/>
                <w:lang w:val="de-DE"/>
              </w:rPr>
              <w:drawing>
                <wp:inline distT="0" distB="0" distL="0" distR="0" wp14:anchorId="3D633BBF" wp14:editId="22F7EAED">
                  <wp:extent cx="180000" cy="1797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79742"/>
                          </a:xfrm>
                          <a:prstGeom prst="rect">
                            <a:avLst/>
                          </a:prstGeom>
                        </pic:spPr>
                      </pic:pic>
                    </a:graphicData>
                  </a:graphic>
                </wp:inline>
              </w:drawing>
            </w:r>
            <w:r w:rsidR="00A93C50" w:rsidRPr="00506483">
              <w:rPr>
                <w:rFonts w:asciiTheme="minorHAnsi" w:hAnsiTheme="minorHAnsi"/>
                <w:szCs w:val="20"/>
              </w:rPr>
              <w:tab/>
            </w:r>
            <w:r w:rsidR="00967EEE" w:rsidRPr="00506483">
              <w:rPr>
                <w:rFonts w:asciiTheme="minorHAnsi" w:hAnsiTheme="minorHAnsi"/>
                <w:szCs w:val="20"/>
              </w:rPr>
              <w:t>3.3/</w:t>
            </w:r>
            <w:r w:rsidR="00967EEE">
              <w:rPr>
                <w:rFonts w:asciiTheme="minorHAnsi" w:hAnsiTheme="minorHAnsi"/>
                <w:szCs w:val="20"/>
              </w:rPr>
              <w:t>1</w:t>
            </w:r>
            <w:r w:rsidR="00A93C50" w:rsidRPr="00506483">
              <w:rPr>
                <w:rFonts w:asciiTheme="minorHAnsi" w:hAnsiTheme="minorHAnsi"/>
                <w:szCs w:val="20"/>
              </w:rPr>
              <w:t xml:space="preserve"> </w:t>
            </w:r>
            <w:r w:rsidR="007A5FB7" w:rsidRPr="007A5FB7">
              <w:rPr>
                <w:rFonts w:asciiTheme="minorHAnsi" w:hAnsiTheme="minorHAnsi"/>
                <w:szCs w:val="20"/>
              </w:rPr>
              <w:t>Verursacht schwere</w:t>
            </w:r>
            <w:r w:rsidR="007A5FB7">
              <w:rPr>
                <w:rFonts w:asciiTheme="minorHAnsi" w:hAnsiTheme="minorHAnsi"/>
                <w:szCs w:val="20"/>
              </w:rPr>
              <w:t xml:space="preserve"> </w:t>
            </w:r>
            <w:r w:rsidR="007A5FB7" w:rsidRPr="007A5FB7">
              <w:rPr>
                <w:rFonts w:asciiTheme="minorHAnsi" w:hAnsiTheme="minorHAnsi"/>
                <w:szCs w:val="20"/>
              </w:rPr>
              <w:t>Augenschäden</w:t>
            </w:r>
            <w:r w:rsidR="006000DA">
              <w:rPr>
                <w:rFonts w:asciiTheme="minorHAnsi" w:hAnsiTheme="minorHAnsi"/>
                <w:szCs w:val="20"/>
              </w:rPr>
              <w:t xml:space="preserve">, </w:t>
            </w:r>
            <w:r w:rsidR="00A93C50" w:rsidRPr="00506483">
              <w:rPr>
                <w:rFonts w:asciiTheme="minorHAnsi" w:hAnsiTheme="minorHAnsi"/>
                <w:szCs w:val="20"/>
              </w:rPr>
              <w:t>H31</w:t>
            </w:r>
            <w:r w:rsidR="00967EEE">
              <w:rPr>
                <w:rFonts w:asciiTheme="minorHAnsi" w:hAnsiTheme="minorHAnsi"/>
                <w:szCs w:val="20"/>
              </w:rPr>
              <w:t>8</w:t>
            </w:r>
            <w:r>
              <w:rPr>
                <w:rFonts w:asciiTheme="minorHAnsi" w:hAnsiTheme="minorHAnsi"/>
                <w:szCs w:val="20"/>
              </w:rPr>
              <w:br/>
            </w:r>
            <w:r w:rsidRPr="00506483">
              <w:rPr>
                <w:rFonts w:asciiTheme="minorHAnsi" w:hAnsiTheme="minorHAnsi"/>
                <w:szCs w:val="20"/>
              </w:rPr>
              <w:tab/>
            </w:r>
            <w:r w:rsidRPr="00506483">
              <w:rPr>
                <w:rFonts w:asciiTheme="minorHAnsi" w:hAnsiTheme="minorHAnsi"/>
                <w:szCs w:val="20"/>
              </w:rPr>
              <w:tab/>
              <w:t>3.3/2 schwere Augenreizung Kat.2, H319</w:t>
            </w:r>
          </w:p>
        </w:tc>
        <w:tc>
          <w:tcPr>
            <w:tcW w:w="946" w:type="dxa"/>
          </w:tcPr>
          <w:p w14:paraId="00154AF0" w14:textId="77777777" w:rsidR="00A93C50" w:rsidRPr="00506483" w:rsidRDefault="002F3484" w:rsidP="002F3484">
            <w:pPr>
              <w:spacing w:after="60"/>
              <w:jc w:val="center"/>
              <w:rPr>
                <w:rFonts w:asciiTheme="minorHAnsi" w:hAnsiTheme="minorHAnsi"/>
                <w:szCs w:val="20"/>
              </w:rPr>
            </w:pPr>
            <w:r>
              <w:rPr>
                <w:rFonts w:asciiTheme="minorHAnsi" w:hAnsiTheme="minorHAnsi"/>
                <w:szCs w:val="20"/>
              </w:rPr>
              <w:t>F</w:t>
            </w:r>
          </w:p>
        </w:tc>
      </w:tr>
    </w:tbl>
    <w:p w14:paraId="3482DAC2" w14:textId="77777777" w:rsidR="00506483" w:rsidRPr="008C45AD" w:rsidRDefault="006A2206" w:rsidP="008C45AD">
      <w:pPr>
        <w:ind w:left="142"/>
        <w:rPr>
          <w:sz w:val="20"/>
          <w:szCs w:val="20"/>
        </w:rPr>
      </w:pPr>
      <w:r w:rsidRPr="008C45AD">
        <w:rPr>
          <w:sz w:val="20"/>
          <w:szCs w:val="20"/>
        </w:rPr>
        <w:t>FDA-Schlüssel: A: &gt; 50% B: 25–50% C: 10–25% D: 5–10% E: 1–5% F: 0,1–1% G: &lt; 0,1%</w:t>
      </w:r>
    </w:p>
    <w:p w14:paraId="1B0F1746" w14:textId="77777777" w:rsidR="002F3484" w:rsidRDefault="008C45AD" w:rsidP="00D642EC">
      <w:pPr>
        <w:pStyle w:val="berschrift3"/>
        <w:spacing w:before="120"/>
        <w:ind w:left="567"/>
      </w:pPr>
      <w:r>
        <w:t xml:space="preserve">Sonstige Bestandteile: </w:t>
      </w:r>
    </w:p>
    <w:p w14:paraId="2CFCA741" w14:textId="77777777" w:rsidR="008C45AD" w:rsidRPr="008C45AD" w:rsidRDefault="008C45AD" w:rsidP="008C45AD">
      <w:pPr>
        <w:ind w:left="567"/>
      </w:pPr>
      <w:r w:rsidRPr="008C45AD">
        <w:t>Milchsäure, Glyzerin, Wasser, Gelborange S (E110).</w:t>
      </w:r>
    </w:p>
    <w:p w14:paraId="73A945BF" w14:textId="77777777" w:rsidR="00E1192D" w:rsidRPr="00E1192D" w:rsidRDefault="00E1192D" w:rsidP="007003DF">
      <w:pPr>
        <w:pStyle w:val="berschrift2"/>
        <w:pBdr>
          <w:bottom w:val="single" w:sz="4" w:space="1" w:color="auto"/>
        </w:pBdr>
      </w:pPr>
      <w:r w:rsidRPr="00E1192D">
        <w:t>4</w:t>
      </w:r>
      <w:r w:rsidRPr="00E1192D">
        <w:tab/>
        <w:t>Erste-Hilfe-Maßnahmen</w:t>
      </w:r>
    </w:p>
    <w:p w14:paraId="3FE5A81F" w14:textId="77777777" w:rsidR="00E1192D" w:rsidRPr="00E1192D" w:rsidRDefault="007003DF" w:rsidP="007003DF">
      <w:pPr>
        <w:pStyle w:val="berschrift3"/>
      </w:pPr>
      <w:r w:rsidRPr="007003DF">
        <w:t xml:space="preserve">4.1 </w:t>
      </w:r>
      <w:r w:rsidRPr="007003DF">
        <w:tab/>
      </w:r>
      <w:r w:rsidR="00E1192D" w:rsidRPr="007003DF">
        <w:t>Beschreibung der Erste-Hilfe-Maßnahmen</w:t>
      </w:r>
    </w:p>
    <w:p w14:paraId="686F914A" w14:textId="77777777" w:rsidR="00E1192D" w:rsidRDefault="009E6E50" w:rsidP="007003DF">
      <w:pPr>
        <w:tabs>
          <w:tab w:val="clear" w:pos="2552"/>
          <w:tab w:val="left" w:pos="2977"/>
        </w:tabs>
        <w:ind w:left="2977" w:hanging="2269"/>
      </w:pPr>
      <w:r w:rsidRPr="009E6E50">
        <w:t>Allgemeine Hinweise</w:t>
      </w:r>
      <w:r w:rsidR="007003DF">
        <w:t xml:space="preserve"> </w:t>
      </w:r>
      <w:r w:rsidR="007003DF">
        <w:tab/>
      </w:r>
      <w:r w:rsidR="007003DF" w:rsidRPr="007003DF">
        <w:t>Bei Unwohlsein ärztlichen Rat einholen (wenn möglich dieses Etikett vorzeigen).</w:t>
      </w:r>
    </w:p>
    <w:p w14:paraId="1B25B088" w14:textId="77777777" w:rsidR="007003DF" w:rsidRDefault="007003DF" w:rsidP="007003DF">
      <w:pPr>
        <w:tabs>
          <w:tab w:val="clear" w:pos="2552"/>
          <w:tab w:val="left" w:pos="2977"/>
        </w:tabs>
        <w:ind w:left="2977" w:hanging="2269"/>
      </w:pPr>
      <w:r w:rsidRPr="007003DF">
        <w:t>Nach Einat</w:t>
      </w:r>
      <w:r>
        <w:t>men</w:t>
      </w:r>
      <w:r>
        <w:tab/>
      </w:r>
      <w:r w:rsidR="00532206" w:rsidRPr="00532206">
        <w:t>Bei Einatmen, betroffene Person an die frische Luft bringen.</w:t>
      </w:r>
    </w:p>
    <w:p w14:paraId="0FF2136C" w14:textId="77777777" w:rsidR="00532206" w:rsidRDefault="00532206" w:rsidP="00532206">
      <w:pPr>
        <w:tabs>
          <w:tab w:val="clear" w:pos="2552"/>
          <w:tab w:val="left" w:pos="2977"/>
        </w:tabs>
        <w:ind w:left="2977" w:hanging="2269"/>
      </w:pPr>
      <w:r>
        <w:t>Nach Augenkontakt</w:t>
      </w:r>
      <w:r>
        <w:tab/>
        <w:t>Sofort während mindestens 10 Minuten mit viel Wasser abspülen, auch unter den Augenlidern.</w:t>
      </w:r>
    </w:p>
    <w:p w14:paraId="54DFCAAF" w14:textId="77777777" w:rsidR="00532206" w:rsidRDefault="00532206" w:rsidP="00532206">
      <w:pPr>
        <w:tabs>
          <w:tab w:val="clear" w:pos="2552"/>
          <w:tab w:val="left" w:pos="2977"/>
        </w:tabs>
        <w:ind w:left="2977" w:hanging="2269"/>
      </w:pPr>
      <w:r>
        <w:t>Nach Verschlucken</w:t>
      </w:r>
      <w:r>
        <w:tab/>
        <w:t>Mund ausspülen. KEIN Erbrechen herbeiführen.</w:t>
      </w:r>
    </w:p>
    <w:p w14:paraId="286F7B1C" w14:textId="77777777" w:rsidR="007003DF" w:rsidRPr="00E1192D" w:rsidRDefault="007003DF" w:rsidP="007003DF">
      <w:pPr>
        <w:pStyle w:val="berschrift3"/>
      </w:pPr>
      <w:r w:rsidRPr="007003DF">
        <w:t>4.</w:t>
      </w:r>
      <w:r>
        <w:t>2</w:t>
      </w:r>
      <w:r w:rsidRPr="007003DF">
        <w:t xml:space="preserve"> </w:t>
      </w:r>
      <w:r w:rsidRPr="007003DF">
        <w:tab/>
        <w:t>Wichtigste akute und verzögert auftretende Symptome und Wirkungen</w:t>
      </w:r>
    </w:p>
    <w:p w14:paraId="57D2AB5A" w14:textId="77777777" w:rsidR="00532206" w:rsidRDefault="00532206" w:rsidP="00532206">
      <w:pPr>
        <w:tabs>
          <w:tab w:val="clear" w:pos="2552"/>
          <w:tab w:val="left" w:pos="2977"/>
        </w:tabs>
        <w:ind w:left="2977" w:hanging="2269"/>
      </w:pPr>
      <w:r w:rsidRPr="00532206">
        <w:t>Symptome</w:t>
      </w:r>
      <w:r>
        <w:t xml:space="preserve"> </w:t>
      </w:r>
      <w:r>
        <w:tab/>
      </w:r>
      <w:r w:rsidRPr="00532206">
        <w:t>Keine Information verfügbar.</w:t>
      </w:r>
    </w:p>
    <w:p w14:paraId="48046ECA" w14:textId="77777777" w:rsidR="007003DF" w:rsidRPr="00E1192D" w:rsidRDefault="007003DF" w:rsidP="007003DF">
      <w:pPr>
        <w:pStyle w:val="berschrift3"/>
      </w:pPr>
      <w:r w:rsidRPr="007003DF">
        <w:t>4.</w:t>
      </w:r>
      <w:r>
        <w:t>3</w:t>
      </w:r>
      <w:r w:rsidRPr="007003DF">
        <w:t xml:space="preserve"> </w:t>
      </w:r>
      <w:r w:rsidRPr="007003DF">
        <w:tab/>
        <w:t>Hinweise auf ärztliche Soforthilfe oder Spezialbehandlung</w:t>
      </w:r>
    </w:p>
    <w:p w14:paraId="6D1B2614" w14:textId="77777777" w:rsidR="00532206" w:rsidRDefault="00532206" w:rsidP="00F768DE">
      <w:pPr>
        <w:tabs>
          <w:tab w:val="clear" w:pos="2552"/>
          <w:tab w:val="left" w:pos="2977"/>
        </w:tabs>
        <w:ind w:left="2977" w:hanging="2269"/>
      </w:pPr>
      <w:r>
        <w:t xml:space="preserve">Behandlung </w:t>
      </w:r>
      <w:r>
        <w:tab/>
      </w:r>
      <w:r w:rsidRPr="00532206">
        <w:t xml:space="preserve">Für Ratschläge eines Spezialisten soll sich der Arzt an die </w:t>
      </w:r>
      <w:r w:rsidR="00F768DE">
        <w:t>Vergiftungsinformationszentrale (VIZ) Wien</w:t>
      </w:r>
      <w:r w:rsidR="00F768DE">
        <w:br/>
        <w:t xml:space="preserve">Notruf-Telefon: +43 1 406 4343 </w:t>
      </w:r>
      <w:r w:rsidRPr="00532206">
        <w:t>wenden.</w:t>
      </w:r>
    </w:p>
    <w:p w14:paraId="4590C048" w14:textId="77777777" w:rsidR="00E1192D" w:rsidRPr="0048156B" w:rsidRDefault="00E1192D" w:rsidP="007003DF">
      <w:pPr>
        <w:pStyle w:val="berschrift2"/>
        <w:pBdr>
          <w:bottom w:val="single" w:sz="4" w:space="1" w:color="auto"/>
        </w:pBdr>
      </w:pPr>
      <w:r w:rsidRPr="0048156B">
        <w:lastRenderedPageBreak/>
        <w:t>5</w:t>
      </w:r>
      <w:r>
        <w:tab/>
      </w:r>
      <w:r w:rsidRPr="0048156B">
        <w:t>Maßnahmen zur Brandbekämpfung</w:t>
      </w:r>
    </w:p>
    <w:p w14:paraId="5D2D5D1A" w14:textId="77777777" w:rsidR="00E1192D" w:rsidRDefault="00532206" w:rsidP="00532206">
      <w:pPr>
        <w:pStyle w:val="berschrift3"/>
      </w:pPr>
      <w:r w:rsidRPr="00532206">
        <w:t>5.1</w:t>
      </w:r>
      <w:r w:rsidRPr="00532206">
        <w:tab/>
      </w:r>
      <w:r w:rsidR="00356D15" w:rsidRPr="00532206">
        <w:t>Löschmittel</w:t>
      </w:r>
    </w:p>
    <w:p w14:paraId="30598B35" w14:textId="77777777" w:rsidR="00D642EC" w:rsidRPr="00D642EC" w:rsidRDefault="00532206" w:rsidP="00AD140A">
      <w:pPr>
        <w:tabs>
          <w:tab w:val="clear" w:pos="2552"/>
          <w:tab w:val="left" w:pos="2977"/>
        </w:tabs>
        <w:ind w:left="2977" w:hanging="2410"/>
        <w:rPr>
          <w:b/>
        </w:rPr>
      </w:pPr>
      <w:r w:rsidRPr="00D642EC">
        <w:rPr>
          <w:b/>
        </w:rPr>
        <w:t>Geeignete Löschmittel</w:t>
      </w:r>
    </w:p>
    <w:p w14:paraId="763E4525" w14:textId="77777777" w:rsidR="00D642EC" w:rsidRPr="00D642EC" w:rsidRDefault="00532206" w:rsidP="00D642EC">
      <w:pPr>
        <w:tabs>
          <w:tab w:val="clear" w:pos="2552"/>
        </w:tabs>
        <w:ind w:left="567"/>
        <w:rPr>
          <w:b/>
        </w:rPr>
      </w:pPr>
      <w:r>
        <w:t>Wassersprühnebel, alkoholbeständigen Schaum, Trockenlöschmittel oder Kohlendioxid verwenden.</w:t>
      </w:r>
      <w:r w:rsidR="00433E41">
        <w:br/>
      </w:r>
      <w:r w:rsidRPr="00D642EC">
        <w:rPr>
          <w:b/>
        </w:rPr>
        <w:t>Ungeeignete Löschmittel</w:t>
      </w:r>
    </w:p>
    <w:p w14:paraId="4DEF94ED" w14:textId="77777777" w:rsidR="00532206" w:rsidRPr="00532206" w:rsidRDefault="00AD140A" w:rsidP="00D642EC">
      <w:pPr>
        <w:tabs>
          <w:tab w:val="clear" w:pos="2552"/>
        </w:tabs>
        <w:ind w:left="567"/>
      </w:pPr>
      <w:r>
        <w:t>Wasser Vollstrahl.</w:t>
      </w:r>
    </w:p>
    <w:p w14:paraId="7B3124EE" w14:textId="77777777" w:rsidR="00532206" w:rsidRDefault="00532206" w:rsidP="00532206">
      <w:pPr>
        <w:pStyle w:val="berschrift3"/>
        <w:tabs>
          <w:tab w:val="left" w:pos="2835"/>
        </w:tabs>
      </w:pPr>
      <w:r w:rsidRPr="00532206">
        <w:t>5.</w:t>
      </w:r>
      <w:r>
        <w:t>2</w:t>
      </w:r>
      <w:r w:rsidRPr="00532206">
        <w:tab/>
        <w:t>Besondere vom Stoff oder Gemisch ausgehende Gefahren</w:t>
      </w:r>
    </w:p>
    <w:p w14:paraId="2762C0B0" w14:textId="77777777" w:rsidR="00532206" w:rsidRPr="00D642EC" w:rsidRDefault="00532206" w:rsidP="00532206">
      <w:pPr>
        <w:tabs>
          <w:tab w:val="left" w:pos="2835"/>
        </w:tabs>
        <w:ind w:left="567"/>
        <w:rPr>
          <w:b/>
        </w:rPr>
      </w:pPr>
      <w:r w:rsidRPr="00D642EC">
        <w:rPr>
          <w:b/>
        </w:rPr>
        <w:t>Besondere Gefahren bei der Brandbekämpfung</w:t>
      </w:r>
    </w:p>
    <w:p w14:paraId="1286EE17" w14:textId="77777777" w:rsidR="00AD140A" w:rsidRDefault="00532206" w:rsidP="00433E41">
      <w:pPr>
        <w:tabs>
          <w:tab w:val="clear" w:pos="2552"/>
          <w:tab w:val="left" w:pos="2977"/>
        </w:tabs>
        <w:spacing w:before="0"/>
        <w:ind w:left="2977" w:hanging="2410"/>
      </w:pPr>
      <w:r>
        <w:t>Geschlossene Behälter in Nähe des Brandherdes mit Wassersprühnebel kühlen.</w:t>
      </w:r>
    </w:p>
    <w:p w14:paraId="5D68AD23" w14:textId="77777777" w:rsidR="00532206" w:rsidRPr="00D642EC" w:rsidRDefault="00532206" w:rsidP="00AD140A">
      <w:pPr>
        <w:tabs>
          <w:tab w:val="clear" w:pos="2552"/>
          <w:tab w:val="left" w:pos="2977"/>
        </w:tabs>
        <w:ind w:left="2977" w:hanging="2410"/>
        <w:rPr>
          <w:b/>
        </w:rPr>
      </w:pPr>
      <w:r w:rsidRPr="00D642EC">
        <w:rPr>
          <w:b/>
        </w:rPr>
        <w:t>Gefährliche Verbrennungsprodukte</w:t>
      </w:r>
    </w:p>
    <w:p w14:paraId="13C70E2E" w14:textId="77777777" w:rsidR="00532206" w:rsidRPr="00532206" w:rsidRDefault="00532206" w:rsidP="00433E41">
      <w:pPr>
        <w:tabs>
          <w:tab w:val="clear" w:pos="2552"/>
          <w:tab w:val="left" w:pos="2977"/>
        </w:tabs>
        <w:spacing w:before="0"/>
        <w:ind w:left="2977" w:hanging="2410"/>
      </w:pPr>
      <w:r>
        <w:t>Keine gefährlichen Verbrennungsprodukte bekannt</w:t>
      </w:r>
    </w:p>
    <w:p w14:paraId="5677B4DB" w14:textId="77777777" w:rsidR="00532206" w:rsidRDefault="00532206" w:rsidP="00532206">
      <w:pPr>
        <w:pStyle w:val="berschrift3"/>
        <w:tabs>
          <w:tab w:val="left" w:pos="2835"/>
        </w:tabs>
      </w:pPr>
      <w:r w:rsidRPr="00532206">
        <w:t>5.</w:t>
      </w:r>
      <w:r>
        <w:t>3</w:t>
      </w:r>
      <w:r w:rsidRPr="00532206">
        <w:tab/>
        <w:t>Hinweise für die Brandbekämpfung</w:t>
      </w:r>
    </w:p>
    <w:p w14:paraId="49620D99" w14:textId="77777777" w:rsidR="00532206" w:rsidRPr="00D642EC" w:rsidRDefault="00532206" w:rsidP="00433E41">
      <w:pPr>
        <w:tabs>
          <w:tab w:val="clear" w:pos="2552"/>
          <w:tab w:val="left" w:pos="2977"/>
        </w:tabs>
        <w:spacing w:before="0"/>
        <w:ind w:left="2977" w:hanging="2410"/>
        <w:rPr>
          <w:b/>
        </w:rPr>
      </w:pPr>
      <w:r w:rsidRPr="00D642EC">
        <w:rPr>
          <w:b/>
        </w:rPr>
        <w:t>Besondere Schutzausrüstung für die Brandbekämpfung</w:t>
      </w:r>
    </w:p>
    <w:p w14:paraId="51B090D4" w14:textId="77777777" w:rsidR="00532206" w:rsidRDefault="00532206" w:rsidP="00433E41">
      <w:pPr>
        <w:tabs>
          <w:tab w:val="clear" w:pos="2552"/>
          <w:tab w:val="left" w:pos="2977"/>
        </w:tabs>
        <w:spacing w:before="0"/>
        <w:ind w:left="2977" w:hanging="2410"/>
      </w:pPr>
      <w:r>
        <w:t>Persönliche Schutzausrüstung verwenden.</w:t>
      </w:r>
    </w:p>
    <w:p w14:paraId="7DB10495" w14:textId="77777777" w:rsidR="00D642EC" w:rsidRDefault="00532206" w:rsidP="00433E41">
      <w:pPr>
        <w:tabs>
          <w:tab w:val="clear" w:pos="2552"/>
          <w:tab w:val="left" w:pos="2977"/>
        </w:tabs>
        <w:spacing w:before="0"/>
        <w:ind w:left="2977" w:hanging="2410"/>
      </w:pPr>
      <w:r w:rsidRPr="00D642EC">
        <w:rPr>
          <w:b/>
        </w:rPr>
        <w:t>Weitere Information</w:t>
      </w:r>
    </w:p>
    <w:p w14:paraId="0B09B3BB" w14:textId="77777777" w:rsidR="00E1192D" w:rsidRDefault="00532206" w:rsidP="00433E41">
      <w:pPr>
        <w:tabs>
          <w:tab w:val="clear" w:pos="2552"/>
          <w:tab w:val="left" w:pos="2977"/>
        </w:tabs>
        <w:spacing w:before="0"/>
        <w:ind w:left="2977" w:hanging="2410"/>
        <w:rPr>
          <w:rFonts w:ascii="Arial" w:hAnsi="Arial" w:cs="Arial"/>
        </w:rPr>
      </w:pPr>
      <w:r>
        <w:t>Übliche Maßnahmen bei Bränden mit Chemikalien.</w:t>
      </w:r>
    </w:p>
    <w:p w14:paraId="0E40BA1E" w14:textId="77777777" w:rsidR="00E1192D" w:rsidRPr="0048156B" w:rsidRDefault="00E1192D" w:rsidP="00532206">
      <w:pPr>
        <w:pStyle w:val="berschrift3"/>
        <w:pBdr>
          <w:bottom w:val="single" w:sz="4" w:space="1" w:color="auto"/>
        </w:pBdr>
      </w:pPr>
      <w:r w:rsidRPr="0048156B">
        <w:t>6</w:t>
      </w:r>
      <w:r>
        <w:tab/>
      </w:r>
      <w:r w:rsidRPr="0048156B">
        <w:t>Maßnahmen bei unbeabsichtigter Freisetzung</w:t>
      </w:r>
    </w:p>
    <w:p w14:paraId="6430D8AE" w14:textId="77777777" w:rsidR="00532206" w:rsidRDefault="00532206" w:rsidP="00AD140A">
      <w:pPr>
        <w:pStyle w:val="berschrift3"/>
        <w:ind w:left="567" w:hanging="567"/>
      </w:pPr>
      <w:r>
        <w:t>6</w:t>
      </w:r>
      <w:r w:rsidRPr="00532206">
        <w:t>.1</w:t>
      </w:r>
      <w:r w:rsidRPr="00532206">
        <w:tab/>
      </w:r>
      <w:r w:rsidR="00AD140A" w:rsidRPr="00AD140A">
        <w:t>Personenbezogene Vorsichtsmaßnahmen, Schutzausrüstungen und in Notfällen anzuwendende Verfahren:</w:t>
      </w:r>
    </w:p>
    <w:p w14:paraId="40F56580" w14:textId="77777777" w:rsidR="00AD140A" w:rsidRDefault="00AD140A" w:rsidP="00AD140A">
      <w:pPr>
        <w:ind w:left="567"/>
      </w:pPr>
      <w:r>
        <w:t>Personenbezogene Vorsichtsmaßnahmen</w:t>
      </w:r>
    </w:p>
    <w:p w14:paraId="2143B49F" w14:textId="77777777" w:rsidR="00532206" w:rsidRPr="00532206" w:rsidRDefault="00AD140A" w:rsidP="00433E41">
      <w:pPr>
        <w:tabs>
          <w:tab w:val="clear" w:pos="2552"/>
          <w:tab w:val="left" w:pos="2977"/>
        </w:tabs>
        <w:spacing w:before="0"/>
        <w:ind w:left="2977" w:hanging="2410"/>
      </w:pPr>
      <w:r>
        <w:tab/>
        <w:t>Für angemessene Lüftung sorgen, Alle Zündquellen entfernen.</w:t>
      </w:r>
    </w:p>
    <w:p w14:paraId="3D74F86D" w14:textId="77777777" w:rsidR="00532206" w:rsidRDefault="00532206" w:rsidP="00532206">
      <w:pPr>
        <w:pStyle w:val="berschrift3"/>
      </w:pPr>
      <w:r>
        <w:t>6</w:t>
      </w:r>
      <w:r w:rsidRPr="00532206">
        <w:t>.</w:t>
      </w:r>
      <w:r>
        <w:t>2</w:t>
      </w:r>
      <w:r w:rsidRPr="00532206">
        <w:tab/>
      </w:r>
      <w:r w:rsidR="00AD140A" w:rsidRPr="00AD140A">
        <w:t>Umweltschutzmaßnahmen</w:t>
      </w:r>
    </w:p>
    <w:p w14:paraId="4B6B3E12" w14:textId="77777777" w:rsidR="00532206" w:rsidRPr="00532206" w:rsidRDefault="00AD140A" w:rsidP="00433E41">
      <w:pPr>
        <w:tabs>
          <w:tab w:val="clear" w:pos="2552"/>
          <w:tab w:val="left" w:pos="2977"/>
        </w:tabs>
        <w:spacing w:before="0"/>
        <w:ind w:left="2977" w:hanging="2410"/>
      </w:pPr>
      <w:r>
        <w:tab/>
        <w:t>Nicht in die Umwelt gelangen lassen</w:t>
      </w:r>
      <w:r w:rsidR="00950F21">
        <w:t>.</w:t>
      </w:r>
    </w:p>
    <w:p w14:paraId="6C391586" w14:textId="77777777" w:rsidR="00532206" w:rsidRDefault="00532206" w:rsidP="00532206">
      <w:pPr>
        <w:pStyle w:val="berschrift3"/>
      </w:pPr>
      <w:r>
        <w:t>6</w:t>
      </w:r>
      <w:r w:rsidRPr="00532206">
        <w:t>.</w:t>
      </w:r>
      <w:r>
        <w:t>3</w:t>
      </w:r>
      <w:r w:rsidRPr="00532206">
        <w:tab/>
      </w:r>
      <w:r w:rsidR="00AD140A" w:rsidRPr="00AD140A">
        <w:t>Methoden und Material für Rückhaltung und Reinigung:</w:t>
      </w:r>
    </w:p>
    <w:p w14:paraId="64FB9F7A" w14:textId="77777777" w:rsidR="00532206" w:rsidRPr="00532206" w:rsidRDefault="00AD140A" w:rsidP="00B82C20">
      <w:pPr>
        <w:tabs>
          <w:tab w:val="clear" w:pos="2552"/>
          <w:tab w:val="left" w:pos="2977"/>
        </w:tabs>
        <w:spacing w:before="0"/>
        <w:ind w:left="2977" w:hanging="2410"/>
      </w:pPr>
      <w:r>
        <w:tab/>
      </w:r>
      <w:r w:rsidRPr="00AD140A">
        <w:t>Mit saugfähigem Material (z.B. Lappen, Vlies) aufwischen.</w:t>
      </w:r>
      <w:r w:rsidR="00B82C20">
        <w:t xml:space="preserve"> </w:t>
      </w:r>
      <w:r w:rsidR="00B82C20">
        <w:br/>
        <w:t>Isozid - H gefärbt – alkoholische Lösung zur Hautdesinfektion ist von den meisten Böden und Tischauflagen problemlos entfernbar. Bei einigen (z. B. porösen) Materialien kann es zu nicht vollständig entfernbaren Verfärbungen kommen.</w:t>
      </w:r>
    </w:p>
    <w:p w14:paraId="2421F772" w14:textId="77777777" w:rsidR="00532206" w:rsidRDefault="00532206" w:rsidP="00532206">
      <w:pPr>
        <w:pStyle w:val="berschrift3"/>
      </w:pPr>
      <w:r>
        <w:t>6</w:t>
      </w:r>
      <w:r w:rsidRPr="00532206">
        <w:t>.</w:t>
      </w:r>
      <w:r>
        <w:t>4</w:t>
      </w:r>
      <w:r w:rsidRPr="00532206">
        <w:tab/>
      </w:r>
      <w:r w:rsidR="00AD140A" w:rsidRPr="00AD140A">
        <w:t>Verweis auf andere Abschnitte</w:t>
      </w:r>
    </w:p>
    <w:p w14:paraId="461E8803" w14:textId="77777777" w:rsidR="00055F8F" w:rsidRDefault="00055F8F" w:rsidP="00173020">
      <w:pPr>
        <w:spacing w:before="0"/>
        <w:ind w:left="2977"/>
      </w:pPr>
      <w:r w:rsidRPr="00AD140A">
        <w:t>Informationen zur sicheren Handhabung siehe Kapitel 7</w:t>
      </w:r>
      <w:r w:rsidR="00C536C8" w:rsidRPr="00AD140A">
        <w:br/>
      </w:r>
      <w:r w:rsidRPr="00AD140A">
        <w:t>Informationen zur persönlichen Schutzausrüstung siehe Kapitel 8</w:t>
      </w:r>
      <w:r w:rsidR="00C536C8" w:rsidRPr="00AD140A">
        <w:br/>
      </w:r>
      <w:r w:rsidRPr="00AD140A">
        <w:t>Informationen zur Entsorgung siehe Kapitel 13</w:t>
      </w:r>
    </w:p>
    <w:p w14:paraId="1C54AC64" w14:textId="77777777" w:rsidR="00055F8F" w:rsidRPr="0048156B" w:rsidRDefault="00055F8F" w:rsidP="00AD140A">
      <w:pPr>
        <w:pStyle w:val="berschrift3"/>
        <w:pBdr>
          <w:bottom w:val="single" w:sz="4" w:space="1" w:color="auto"/>
        </w:pBdr>
      </w:pPr>
      <w:r w:rsidRPr="0048156B">
        <w:lastRenderedPageBreak/>
        <w:t xml:space="preserve">7 </w:t>
      </w:r>
      <w:r>
        <w:tab/>
      </w:r>
      <w:r w:rsidRPr="0048156B">
        <w:t>Handhabung und Lagerung</w:t>
      </w:r>
    </w:p>
    <w:p w14:paraId="77662EDF" w14:textId="77777777" w:rsidR="00055F8F" w:rsidRPr="003F4582" w:rsidRDefault="00AD140A" w:rsidP="00AD140A">
      <w:pPr>
        <w:pStyle w:val="berschrift3"/>
      </w:pPr>
      <w:r>
        <w:t>7.1</w:t>
      </w:r>
      <w:r>
        <w:tab/>
      </w:r>
      <w:r w:rsidR="0085478C" w:rsidRPr="0085478C">
        <w:t>Schutzmaßnahmen zur sicheren Handhabung:</w:t>
      </w:r>
    </w:p>
    <w:p w14:paraId="26212A35" w14:textId="77777777" w:rsidR="0085478C" w:rsidRDefault="0085478C" w:rsidP="00433E41">
      <w:pPr>
        <w:tabs>
          <w:tab w:val="clear" w:pos="2552"/>
          <w:tab w:val="clear" w:pos="5103"/>
          <w:tab w:val="left" w:pos="2977"/>
          <w:tab w:val="left" w:pos="4678"/>
        </w:tabs>
        <w:ind w:left="2977" w:hanging="2410"/>
      </w:pPr>
      <w:r>
        <w:t>Hinweise zum sicheren Umgang</w:t>
      </w:r>
      <w:r w:rsidR="00433E41">
        <w:tab/>
      </w:r>
      <w:r>
        <w:t>Vor Hitze schützen.</w:t>
      </w:r>
    </w:p>
    <w:p w14:paraId="615CFD35" w14:textId="77777777" w:rsidR="0085478C" w:rsidRDefault="0085478C" w:rsidP="00433E41">
      <w:pPr>
        <w:tabs>
          <w:tab w:val="clear" w:pos="2552"/>
          <w:tab w:val="clear" w:pos="5103"/>
          <w:tab w:val="left" w:pos="2977"/>
          <w:tab w:val="left" w:pos="4678"/>
        </w:tabs>
        <w:ind w:left="2977" w:hanging="2410"/>
      </w:pPr>
      <w:r>
        <w:t>Hinweise zum Brand- und Explosionsschutz</w:t>
      </w:r>
      <w:r w:rsidR="00433E41">
        <w:tab/>
      </w:r>
      <w:r>
        <w:t>Von Zündquellen fernhalten - Nicht rauchen.</w:t>
      </w:r>
    </w:p>
    <w:p w14:paraId="476ABECF" w14:textId="77777777" w:rsidR="00055F8F" w:rsidRPr="00FF30F7" w:rsidRDefault="0085478C" w:rsidP="00433E41">
      <w:pPr>
        <w:tabs>
          <w:tab w:val="clear" w:pos="2552"/>
          <w:tab w:val="clear" w:pos="5103"/>
          <w:tab w:val="left" w:pos="2268"/>
          <w:tab w:val="left" w:pos="4678"/>
        </w:tabs>
        <w:spacing w:before="120"/>
        <w:ind w:left="4678" w:hanging="4111"/>
      </w:pPr>
      <w:r>
        <w:t>Hygienemaßnahmen</w:t>
      </w:r>
      <w:r w:rsidR="00433E41">
        <w:tab/>
      </w:r>
      <w:r>
        <w:t>Die beim Umgang mit Chemikalien üblichen Vorsichtsmaßnahmen sind zu beachten.</w:t>
      </w:r>
    </w:p>
    <w:p w14:paraId="6526DBE5" w14:textId="77777777" w:rsidR="0085478C" w:rsidRPr="003F4582" w:rsidRDefault="0085478C" w:rsidP="0085478C">
      <w:pPr>
        <w:pStyle w:val="berschrift3"/>
        <w:ind w:left="567" w:hanging="567"/>
      </w:pPr>
      <w:r>
        <w:t>7.2</w:t>
      </w:r>
      <w:r>
        <w:tab/>
      </w:r>
      <w:r w:rsidRPr="0085478C">
        <w:t>Bedingungen zur sicheren Lagerung unter Berücksichtigung von Unverträglichkeiten</w:t>
      </w:r>
      <w:r>
        <w:t>:</w:t>
      </w:r>
    </w:p>
    <w:p w14:paraId="1ECED216" w14:textId="77777777" w:rsidR="0049762C" w:rsidRDefault="0085478C" w:rsidP="0049762C">
      <w:pPr>
        <w:tabs>
          <w:tab w:val="clear" w:pos="2552"/>
          <w:tab w:val="left" w:pos="2977"/>
        </w:tabs>
        <w:ind w:left="2977" w:hanging="2410"/>
      </w:pPr>
      <w:r>
        <w:t>Anforderungen an Lagerräume und Behälter</w:t>
      </w:r>
      <w:r>
        <w:br/>
      </w:r>
      <w:r w:rsidR="0049762C">
        <w:t>Nicht über 25°C lagern!</w:t>
      </w:r>
    </w:p>
    <w:p w14:paraId="7F5E4D10" w14:textId="77777777" w:rsidR="0049762C" w:rsidRDefault="0049762C" w:rsidP="0049762C">
      <w:pPr>
        <w:tabs>
          <w:tab w:val="clear" w:pos="2552"/>
          <w:tab w:val="left" w:pos="2977"/>
        </w:tabs>
        <w:ind w:left="2977"/>
      </w:pPr>
      <w:r>
        <w:t>In der Originalverpackung aufbewahren, um den Inhalt vor Licht zu schützen.</w:t>
      </w:r>
    </w:p>
    <w:p w14:paraId="5FBF4C0E" w14:textId="77777777" w:rsidR="0085478C" w:rsidRDefault="0085478C" w:rsidP="0085478C">
      <w:pPr>
        <w:tabs>
          <w:tab w:val="clear" w:pos="2552"/>
          <w:tab w:val="left" w:pos="2977"/>
        </w:tabs>
        <w:ind w:left="2977" w:hanging="2410"/>
      </w:pPr>
      <w:r>
        <w:t>Zusammenlagerungshinweise</w:t>
      </w:r>
      <w:r>
        <w:br/>
        <w:t>Von Nahrungsmitteln und Getränken fernhalten.</w:t>
      </w:r>
    </w:p>
    <w:p w14:paraId="48D5AEFE" w14:textId="77777777" w:rsidR="0085478C" w:rsidRDefault="0085478C" w:rsidP="0085478C">
      <w:pPr>
        <w:tabs>
          <w:tab w:val="clear" w:pos="2552"/>
          <w:tab w:val="left" w:pos="2977"/>
        </w:tabs>
        <w:ind w:left="2977" w:hanging="2410"/>
      </w:pPr>
      <w:r>
        <w:t xml:space="preserve">Lagerklasse </w:t>
      </w:r>
      <w:r>
        <w:tab/>
        <w:t>3, Entzündbare Flüssigkeiten</w:t>
      </w:r>
      <w:r w:rsidR="00950F21">
        <w:t>.</w:t>
      </w:r>
    </w:p>
    <w:p w14:paraId="48A7346B" w14:textId="77777777" w:rsidR="0049762C" w:rsidRPr="00FF30F7" w:rsidRDefault="0049762C" w:rsidP="0085478C">
      <w:pPr>
        <w:tabs>
          <w:tab w:val="clear" w:pos="2552"/>
          <w:tab w:val="left" w:pos="2977"/>
        </w:tabs>
        <w:ind w:left="2977" w:hanging="2410"/>
      </w:pPr>
    </w:p>
    <w:p w14:paraId="5192C729" w14:textId="77777777" w:rsidR="00094F9D" w:rsidRPr="003F4582" w:rsidRDefault="00094F9D" w:rsidP="0085478C">
      <w:pPr>
        <w:pStyle w:val="berschrift2"/>
        <w:pBdr>
          <w:bottom w:val="single" w:sz="4" w:space="1" w:color="auto"/>
        </w:pBdr>
        <w:ind w:left="567" w:hanging="567"/>
      </w:pPr>
      <w:r w:rsidRPr="0085478C">
        <w:t xml:space="preserve">8 </w:t>
      </w:r>
      <w:r w:rsidRPr="0085478C">
        <w:tab/>
      </w:r>
      <w:r w:rsidR="00106A54" w:rsidRPr="0085478C">
        <w:t>Begrenzung und Überwachung der Exposition/Persönliche Schutzausrüstungen</w:t>
      </w:r>
    </w:p>
    <w:p w14:paraId="06EF4504" w14:textId="77777777" w:rsidR="00094F9D" w:rsidRDefault="0085478C" w:rsidP="0085478C">
      <w:pPr>
        <w:pStyle w:val="berschrift3"/>
      </w:pPr>
      <w:r>
        <w:t>8.1</w:t>
      </w:r>
      <w:r>
        <w:tab/>
      </w:r>
      <w:r w:rsidRPr="0085478C">
        <w:t>Zu überwachende Parameter:</w:t>
      </w:r>
      <w:r w:rsidR="00094F9D" w:rsidRPr="003F4582">
        <w:t xml:space="preserve"> </w:t>
      </w:r>
    </w:p>
    <w:p w14:paraId="24376B1E" w14:textId="77777777" w:rsidR="00094F9D" w:rsidRDefault="00094F9D" w:rsidP="000350B0">
      <w:pPr>
        <w:spacing w:after="120"/>
        <w:ind w:left="567"/>
      </w:pPr>
      <w:r w:rsidRPr="00FF30F7">
        <w:t>Bestandteile mit arbeitsplatzbezogenen, zu überwachenden Grenzwerten:</w:t>
      </w:r>
      <w:r w:rsidRPr="003F4582">
        <w:t xml:space="preserve"> </w:t>
      </w:r>
    </w:p>
    <w:tbl>
      <w:tblPr>
        <w:tblStyle w:val="Tabellenraster"/>
        <w:tblW w:w="0" w:type="auto"/>
        <w:tblInd w:w="567" w:type="dxa"/>
        <w:tblLook w:val="04A0" w:firstRow="1" w:lastRow="0" w:firstColumn="1" w:lastColumn="0" w:noHBand="0" w:noVBand="1"/>
      </w:tblPr>
      <w:tblGrid>
        <w:gridCol w:w="1223"/>
        <w:gridCol w:w="967"/>
        <w:gridCol w:w="1648"/>
        <w:gridCol w:w="1649"/>
        <w:gridCol w:w="1430"/>
        <w:gridCol w:w="1576"/>
      </w:tblGrid>
      <w:tr w:rsidR="000350B0" w:rsidRPr="008B2FBD" w14:paraId="6E1FE66D" w14:textId="77777777" w:rsidTr="000350B0">
        <w:tc>
          <w:tcPr>
            <w:tcW w:w="1242" w:type="dxa"/>
          </w:tcPr>
          <w:p w14:paraId="7D152E5E"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Stoff</w:t>
            </w:r>
          </w:p>
        </w:tc>
        <w:tc>
          <w:tcPr>
            <w:tcW w:w="993" w:type="dxa"/>
          </w:tcPr>
          <w:p w14:paraId="30A0CF80"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CAS-No.</w:t>
            </w:r>
          </w:p>
        </w:tc>
        <w:tc>
          <w:tcPr>
            <w:tcW w:w="1701" w:type="dxa"/>
          </w:tcPr>
          <w:p w14:paraId="24452503"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MAK-TMW</w:t>
            </w:r>
            <w:r w:rsidRPr="000350B0">
              <w:rPr>
                <w:rFonts w:asciiTheme="minorHAnsi" w:hAnsiTheme="minorHAnsi"/>
                <w:b/>
              </w:rPr>
              <w:br/>
              <w:t>[ppm] / [mg/m³]</w:t>
            </w:r>
          </w:p>
        </w:tc>
        <w:tc>
          <w:tcPr>
            <w:tcW w:w="1701" w:type="dxa"/>
          </w:tcPr>
          <w:p w14:paraId="0BA9B0D2"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MAK-KZW</w:t>
            </w:r>
          </w:p>
          <w:p w14:paraId="07F11BC5"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[ppm] / [mg/m³]</w:t>
            </w:r>
          </w:p>
        </w:tc>
        <w:tc>
          <w:tcPr>
            <w:tcW w:w="1469" w:type="dxa"/>
          </w:tcPr>
          <w:p w14:paraId="47C2FFE0"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Dauer</w:t>
            </w:r>
          </w:p>
        </w:tc>
        <w:tc>
          <w:tcPr>
            <w:tcW w:w="1613" w:type="dxa"/>
          </w:tcPr>
          <w:p w14:paraId="1EDF0DC4" w14:textId="77777777" w:rsidR="000350B0" w:rsidRPr="000350B0" w:rsidRDefault="000350B0" w:rsidP="000350B0">
            <w:pPr>
              <w:spacing w:before="120" w:after="120"/>
              <w:jc w:val="center"/>
              <w:rPr>
                <w:rFonts w:asciiTheme="minorHAnsi" w:hAnsiTheme="minorHAnsi"/>
                <w:b/>
              </w:rPr>
            </w:pPr>
            <w:r w:rsidRPr="000350B0">
              <w:rPr>
                <w:rFonts w:asciiTheme="minorHAnsi" w:hAnsiTheme="minorHAnsi"/>
                <w:b/>
              </w:rPr>
              <w:t>Häufigkeit pro Schicht</w:t>
            </w:r>
          </w:p>
        </w:tc>
      </w:tr>
      <w:tr w:rsidR="000350B0" w:rsidRPr="008B2FBD" w14:paraId="5188076E" w14:textId="77777777" w:rsidTr="000350B0">
        <w:tc>
          <w:tcPr>
            <w:tcW w:w="1242" w:type="dxa"/>
          </w:tcPr>
          <w:p w14:paraId="58D7D5B6" w14:textId="77777777" w:rsidR="000350B0" w:rsidRPr="000350B0" w:rsidRDefault="000350B0" w:rsidP="000350B0">
            <w:pPr>
              <w:spacing w:before="120" w:after="120"/>
              <w:rPr>
                <w:rFonts w:asciiTheme="minorHAnsi" w:hAnsiTheme="minorHAnsi"/>
              </w:rPr>
            </w:pPr>
            <w:r w:rsidRPr="000350B0">
              <w:rPr>
                <w:rFonts w:asciiTheme="minorHAnsi" w:hAnsiTheme="minorHAnsi"/>
              </w:rPr>
              <w:t>2-Propanol</w:t>
            </w:r>
          </w:p>
        </w:tc>
        <w:tc>
          <w:tcPr>
            <w:tcW w:w="993" w:type="dxa"/>
          </w:tcPr>
          <w:p w14:paraId="6B2E9988" w14:textId="77777777" w:rsidR="000350B0" w:rsidRPr="000350B0" w:rsidRDefault="000350B0" w:rsidP="000350B0">
            <w:pPr>
              <w:spacing w:before="120" w:after="120"/>
              <w:rPr>
                <w:rFonts w:asciiTheme="minorHAnsi" w:hAnsiTheme="minorHAnsi"/>
              </w:rPr>
            </w:pPr>
            <w:r w:rsidRPr="000350B0">
              <w:rPr>
                <w:rFonts w:asciiTheme="minorHAnsi" w:hAnsiTheme="minorHAnsi"/>
              </w:rPr>
              <w:t>[67‐63‐0]</w:t>
            </w:r>
          </w:p>
        </w:tc>
        <w:tc>
          <w:tcPr>
            <w:tcW w:w="1701" w:type="dxa"/>
          </w:tcPr>
          <w:p w14:paraId="75C4DE41"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 xml:space="preserve">200 </w:t>
            </w:r>
            <w:r w:rsidRPr="000350B0">
              <w:rPr>
                <w:rFonts w:asciiTheme="minorHAnsi" w:hAnsiTheme="minorHAnsi"/>
                <w:b/>
              </w:rPr>
              <w:t xml:space="preserve"> / </w:t>
            </w:r>
            <w:r w:rsidRPr="000350B0">
              <w:rPr>
                <w:rFonts w:asciiTheme="minorHAnsi" w:hAnsiTheme="minorHAnsi"/>
              </w:rPr>
              <w:t>500</w:t>
            </w:r>
          </w:p>
        </w:tc>
        <w:tc>
          <w:tcPr>
            <w:tcW w:w="1701" w:type="dxa"/>
          </w:tcPr>
          <w:p w14:paraId="1C8F5A87"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800</w:t>
            </w:r>
            <w:r w:rsidRPr="000350B0">
              <w:rPr>
                <w:rFonts w:asciiTheme="minorHAnsi" w:hAnsiTheme="minorHAnsi"/>
                <w:b/>
              </w:rPr>
              <w:t xml:space="preserve"> / </w:t>
            </w:r>
            <w:r w:rsidRPr="000350B0">
              <w:rPr>
                <w:rFonts w:asciiTheme="minorHAnsi" w:hAnsiTheme="minorHAnsi"/>
              </w:rPr>
              <w:t>2000</w:t>
            </w:r>
          </w:p>
        </w:tc>
        <w:tc>
          <w:tcPr>
            <w:tcW w:w="1469" w:type="dxa"/>
          </w:tcPr>
          <w:p w14:paraId="4290AAB6"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15(Miw)</w:t>
            </w:r>
          </w:p>
        </w:tc>
        <w:tc>
          <w:tcPr>
            <w:tcW w:w="1613" w:type="dxa"/>
          </w:tcPr>
          <w:p w14:paraId="42F1CE66"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4x</w:t>
            </w:r>
          </w:p>
        </w:tc>
      </w:tr>
      <w:tr w:rsidR="000350B0" w:rsidRPr="008B2FBD" w14:paraId="07E5AE6C" w14:textId="77777777" w:rsidTr="000350B0">
        <w:tc>
          <w:tcPr>
            <w:tcW w:w="1242" w:type="dxa"/>
          </w:tcPr>
          <w:p w14:paraId="6A91E1C6" w14:textId="77777777" w:rsidR="000350B0" w:rsidRPr="000350B0" w:rsidRDefault="000350B0" w:rsidP="000350B0">
            <w:pPr>
              <w:spacing w:before="120" w:after="120"/>
              <w:rPr>
                <w:rFonts w:asciiTheme="minorHAnsi" w:hAnsiTheme="minorHAnsi"/>
              </w:rPr>
            </w:pPr>
            <w:r w:rsidRPr="000350B0">
              <w:rPr>
                <w:rFonts w:asciiTheme="minorHAnsi" w:hAnsiTheme="minorHAnsi"/>
              </w:rPr>
              <w:t>n-Propanol</w:t>
            </w:r>
          </w:p>
        </w:tc>
        <w:tc>
          <w:tcPr>
            <w:tcW w:w="993" w:type="dxa"/>
          </w:tcPr>
          <w:p w14:paraId="798F4876" w14:textId="77777777" w:rsidR="000350B0" w:rsidRPr="000350B0" w:rsidRDefault="000350B0" w:rsidP="000350B0">
            <w:pPr>
              <w:spacing w:before="120" w:after="120"/>
              <w:rPr>
                <w:rFonts w:asciiTheme="minorHAnsi" w:hAnsiTheme="minorHAnsi"/>
              </w:rPr>
            </w:pPr>
            <w:r w:rsidRPr="000350B0">
              <w:rPr>
                <w:rFonts w:asciiTheme="minorHAnsi" w:hAnsiTheme="minorHAnsi"/>
              </w:rPr>
              <w:t>[71‐23‐8]</w:t>
            </w:r>
          </w:p>
        </w:tc>
        <w:tc>
          <w:tcPr>
            <w:tcW w:w="1701" w:type="dxa"/>
          </w:tcPr>
          <w:p w14:paraId="08DBC76A"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200</w:t>
            </w:r>
            <w:r w:rsidRPr="000350B0">
              <w:rPr>
                <w:rFonts w:asciiTheme="minorHAnsi" w:hAnsiTheme="minorHAnsi"/>
                <w:b/>
              </w:rPr>
              <w:t xml:space="preserve"> / </w:t>
            </w:r>
            <w:r w:rsidRPr="000350B0">
              <w:rPr>
                <w:rFonts w:asciiTheme="minorHAnsi" w:hAnsiTheme="minorHAnsi"/>
              </w:rPr>
              <w:t>500</w:t>
            </w:r>
          </w:p>
        </w:tc>
        <w:tc>
          <w:tcPr>
            <w:tcW w:w="1701" w:type="dxa"/>
          </w:tcPr>
          <w:p w14:paraId="727DDA63"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Angaben</w:t>
            </w:r>
          </w:p>
        </w:tc>
        <w:tc>
          <w:tcPr>
            <w:tcW w:w="1469" w:type="dxa"/>
          </w:tcPr>
          <w:p w14:paraId="61300099"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w:t>
            </w:r>
          </w:p>
        </w:tc>
        <w:tc>
          <w:tcPr>
            <w:tcW w:w="1613" w:type="dxa"/>
          </w:tcPr>
          <w:p w14:paraId="0993D882" w14:textId="77777777" w:rsidR="000350B0" w:rsidRPr="000350B0" w:rsidRDefault="000350B0" w:rsidP="000350B0">
            <w:pPr>
              <w:spacing w:before="120" w:after="120"/>
              <w:jc w:val="center"/>
              <w:rPr>
                <w:rFonts w:asciiTheme="minorHAnsi" w:hAnsiTheme="minorHAnsi"/>
              </w:rPr>
            </w:pPr>
            <w:r w:rsidRPr="000350B0">
              <w:rPr>
                <w:rFonts w:asciiTheme="minorHAnsi" w:hAnsiTheme="minorHAnsi"/>
              </w:rPr>
              <w:t>Keine Angabe</w:t>
            </w:r>
          </w:p>
        </w:tc>
      </w:tr>
    </w:tbl>
    <w:p w14:paraId="11612BBF" w14:textId="77777777" w:rsidR="00094F9D" w:rsidRPr="003F4582" w:rsidRDefault="00094F9D" w:rsidP="00B465E4">
      <w:pPr>
        <w:tabs>
          <w:tab w:val="clear" w:pos="2552"/>
          <w:tab w:val="left" w:pos="2977"/>
        </w:tabs>
        <w:ind w:left="2977" w:hanging="2410"/>
      </w:pPr>
      <w:r w:rsidRPr="008B2FBD">
        <w:t xml:space="preserve">Zusätzliche Hinweise: </w:t>
      </w:r>
      <w:r w:rsidR="008B2FBD">
        <w:tab/>
      </w:r>
      <w:r w:rsidR="008B2FBD" w:rsidRPr="008B2FBD">
        <w:t>Als Grundlage dienten die bei der Erstellung gültigen Listen.</w:t>
      </w:r>
      <w:r w:rsidR="00B465E4">
        <w:t xml:space="preserve"> (Grenzwerteverordnung 2011 – GKV 2011)</w:t>
      </w:r>
    </w:p>
    <w:p w14:paraId="57D7EEF0" w14:textId="77777777" w:rsidR="000350B0" w:rsidRDefault="000350B0" w:rsidP="000350B0">
      <w:pPr>
        <w:pStyle w:val="berschrift3"/>
      </w:pPr>
      <w:r>
        <w:t>8.2</w:t>
      </w:r>
      <w:r>
        <w:tab/>
      </w:r>
      <w:r w:rsidR="00B465E4" w:rsidRPr="00B465E4">
        <w:t>Begrenzung und Überwachung der Exposition</w:t>
      </w:r>
      <w:r w:rsidRPr="0085478C">
        <w:t>:</w:t>
      </w:r>
      <w:r w:rsidRPr="003F4582">
        <w:t xml:space="preserve"> </w:t>
      </w:r>
    </w:p>
    <w:p w14:paraId="11F66201" w14:textId="77777777" w:rsidR="00106A54" w:rsidRDefault="00B465E4" w:rsidP="00433E41">
      <w:pPr>
        <w:pStyle w:val="berschrift3"/>
        <w:spacing w:before="60"/>
        <w:ind w:left="567"/>
      </w:pPr>
      <w:r w:rsidRPr="00B465E4">
        <w:t>Persönliche Schutzausrüstung:</w:t>
      </w:r>
    </w:p>
    <w:p w14:paraId="341A7AA9" w14:textId="77777777" w:rsidR="00B465E4" w:rsidRDefault="00B465E4" w:rsidP="00433E41">
      <w:pPr>
        <w:tabs>
          <w:tab w:val="clear" w:pos="2552"/>
          <w:tab w:val="left" w:pos="2977"/>
        </w:tabs>
        <w:spacing w:before="0"/>
        <w:ind w:left="567"/>
      </w:pPr>
      <w:r>
        <w:t>Schutzmaßnahmen</w:t>
      </w:r>
      <w:r>
        <w:tab/>
        <w:t>Keine besondere Schutzausrüstung erforderlich.</w:t>
      </w:r>
      <w:r>
        <w:br/>
      </w:r>
      <w:r>
        <w:tab/>
        <w:t>Berührung mit den Augen vermeiden</w:t>
      </w:r>
    </w:p>
    <w:p w14:paraId="76E06501" w14:textId="77777777" w:rsidR="0049762C" w:rsidRDefault="0049762C">
      <w:pPr>
        <w:tabs>
          <w:tab w:val="clear" w:pos="2552"/>
          <w:tab w:val="clear" w:pos="5103"/>
        </w:tabs>
        <w:spacing w:before="0" w:after="200" w:line="276" w:lineRule="auto"/>
        <w:rPr>
          <w:rFonts w:cs="Arial"/>
          <w:bCs/>
          <w:iCs/>
          <w:sz w:val="32"/>
          <w:szCs w:val="28"/>
        </w:rPr>
      </w:pPr>
      <w:r>
        <w:br w:type="page"/>
      </w:r>
    </w:p>
    <w:p w14:paraId="198FDFBC" w14:textId="77777777" w:rsidR="00094F9D" w:rsidRPr="0048156B" w:rsidRDefault="00094F9D" w:rsidP="00B465E4">
      <w:pPr>
        <w:pStyle w:val="berschrift2"/>
        <w:pBdr>
          <w:bottom w:val="single" w:sz="4" w:space="1" w:color="auto"/>
        </w:pBdr>
      </w:pPr>
      <w:r w:rsidRPr="0048156B">
        <w:lastRenderedPageBreak/>
        <w:t xml:space="preserve">9 </w:t>
      </w:r>
      <w:r>
        <w:tab/>
      </w:r>
      <w:r w:rsidRPr="0048156B">
        <w:t>Physikalische und chemische Eigenschaften</w:t>
      </w:r>
    </w:p>
    <w:p w14:paraId="3F86F940" w14:textId="77777777" w:rsidR="009440CB" w:rsidRDefault="00B465E4" w:rsidP="00B465E4">
      <w:pPr>
        <w:pStyle w:val="berschrift3"/>
        <w:ind w:left="567" w:hanging="567"/>
      </w:pPr>
      <w:r w:rsidRPr="00B465E4">
        <w:t>9.1</w:t>
      </w:r>
      <w:r w:rsidRPr="00B465E4">
        <w:tab/>
      </w:r>
      <w:r w:rsidR="009440CB" w:rsidRPr="00B465E4">
        <w:t>Angaben zu den grundlegenden physikalischen und chemischen Eigenschaften</w:t>
      </w:r>
    </w:p>
    <w:p w14:paraId="3814F0CE" w14:textId="77777777" w:rsidR="003206F1" w:rsidRDefault="003206F1" w:rsidP="00433E41">
      <w:pPr>
        <w:tabs>
          <w:tab w:val="clear" w:pos="2552"/>
          <w:tab w:val="left" w:pos="3544"/>
        </w:tabs>
        <w:spacing w:before="40"/>
        <w:ind w:left="567"/>
      </w:pPr>
      <w:r>
        <w:t>Aussehen</w:t>
      </w:r>
      <w:r>
        <w:tab/>
        <w:t>flüssig</w:t>
      </w:r>
    </w:p>
    <w:p w14:paraId="1666DF89" w14:textId="77777777" w:rsidR="003206F1" w:rsidRDefault="003206F1" w:rsidP="00433E41">
      <w:pPr>
        <w:tabs>
          <w:tab w:val="clear" w:pos="2552"/>
          <w:tab w:val="left" w:pos="3544"/>
        </w:tabs>
        <w:spacing w:before="40"/>
        <w:ind w:left="567"/>
      </w:pPr>
      <w:r>
        <w:t>Farbe</w:t>
      </w:r>
      <w:r>
        <w:tab/>
      </w:r>
      <w:r w:rsidR="0049762C">
        <w:t>orange</w:t>
      </w:r>
    </w:p>
    <w:p w14:paraId="039A564D" w14:textId="77777777" w:rsidR="003206F1" w:rsidRDefault="003206F1" w:rsidP="00433E41">
      <w:pPr>
        <w:tabs>
          <w:tab w:val="clear" w:pos="2552"/>
          <w:tab w:val="left" w:pos="3544"/>
        </w:tabs>
        <w:spacing w:before="40"/>
        <w:ind w:left="567"/>
      </w:pPr>
      <w:r>
        <w:t>Geruch</w:t>
      </w:r>
      <w:r>
        <w:tab/>
        <w:t>alkoholartig, mild</w:t>
      </w:r>
    </w:p>
    <w:p w14:paraId="52ED7F0B" w14:textId="77777777" w:rsidR="003206F1" w:rsidRDefault="003206F1" w:rsidP="00433E41">
      <w:pPr>
        <w:tabs>
          <w:tab w:val="clear" w:pos="2552"/>
          <w:tab w:val="left" w:pos="3544"/>
        </w:tabs>
        <w:spacing w:before="40"/>
        <w:ind w:left="567"/>
      </w:pPr>
      <w:r>
        <w:t>pH-Wert</w:t>
      </w:r>
      <w:r>
        <w:tab/>
      </w:r>
      <w:r w:rsidRPr="003206F1">
        <w:t>5,2 - 6,0</w:t>
      </w:r>
    </w:p>
    <w:p w14:paraId="7C2FB63D" w14:textId="77777777" w:rsidR="003206F1" w:rsidRDefault="003206F1" w:rsidP="00433E41">
      <w:pPr>
        <w:tabs>
          <w:tab w:val="clear" w:pos="2552"/>
          <w:tab w:val="left" w:pos="3544"/>
        </w:tabs>
        <w:spacing w:before="40"/>
        <w:ind w:left="567"/>
      </w:pPr>
      <w:r>
        <w:t>Schmelzpunkt/Schmelzbereich</w:t>
      </w:r>
      <w:r>
        <w:tab/>
        <w:t>n</w:t>
      </w:r>
      <w:r w:rsidR="00433E41">
        <w:t>icht anwendbar</w:t>
      </w:r>
    </w:p>
    <w:p w14:paraId="4D6F3BEB" w14:textId="77777777" w:rsidR="003206F1" w:rsidRDefault="003206F1" w:rsidP="00433E41">
      <w:pPr>
        <w:tabs>
          <w:tab w:val="clear" w:pos="2552"/>
          <w:tab w:val="left" w:pos="3544"/>
        </w:tabs>
        <w:spacing w:before="40"/>
        <w:ind w:left="567"/>
      </w:pPr>
      <w:r>
        <w:t>Siedepunkt/Siedebereich</w:t>
      </w:r>
      <w:r>
        <w:tab/>
      </w:r>
      <w:r w:rsidRPr="003206F1">
        <w:t>nicht verfügbar</w:t>
      </w:r>
    </w:p>
    <w:p w14:paraId="3F5A86A8" w14:textId="77777777" w:rsidR="003206F1" w:rsidRDefault="003206F1" w:rsidP="00433E41">
      <w:pPr>
        <w:tabs>
          <w:tab w:val="clear" w:pos="2552"/>
          <w:tab w:val="left" w:pos="3544"/>
        </w:tabs>
        <w:spacing w:before="40"/>
        <w:ind w:left="567"/>
      </w:pPr>
      <w:r>
        <w:t xml:space="preserve">Flammpunkt </w:t>
      </w:r>
      <w:r>
        <w:tab/>
        <w:t xml:space="preserve">25 °C </w:t>
      </w:r>
      <w:r w:rsidRPr="003206F1">
        <w:t>(korrigiert, geprüft nach Pensky Martens)</w:t>
      </w:r>
    </w:p>
    <w:p w14:paraId="0EEC9E2C" w14:textId="77777777" w:rsidR="003206F1" w:rsidRDefault="003206F1" w:rsidP="00433E41">
      <w:pPr>
        <w:tabs>
          <w:tab w:val="clear" w:pos="2552"/>
          <w:tab w:val="left" w:pos="3544"/>
        </w:tabs>
        <w:spacing w:before="40"/>
        <w:ind w:left="567"/>
      </w:pPr>
      <w:r>
        <w:t>Untere Explosionsgrenze</w:t>
      </w:r>
      <w:r>
        <w:tab/>
      </w:r>
      <w:r w:rsidRPr="003206F1">
        <w:t>nicht verfügbar</w:t>
      </w:r>
    </w:p>
    <w:p w14:paraId="267CA7DF" w14:textId="77777777" w:rsidR="003206F1" w:rsidRDefault="003206F1" w:rsidP="00433E41">
      <w:pPr>
        <w:tabs>
          <w:tab w:val="clear" w:pos="2552"/>
          <w:tab w:val="left" w:pos="3544"/>
        </w:tabs>
        <w:spacing w:before="40"/>
        <w:ind w:left="567"/>
      </w:pPr>
      <w:r>
        <w:t>Dampfdruck</w:t>
      </w:r>
      <w:r>
        <w:tab/>
      </w:r>
      <w:r w:rsidRPr="003206F1">
        <w:t>nicht verfügbar</w:t>
      </w:r>
    </w:p>
    <w:p w14:paraId="1740DE18" w14:textId="77777777" w:rsidR="003206F1" w:rsidRDefault="003206F1" w:rsidP="00433E41">
      <w:pPr>
        <w:tabs>
          <w:tab w:val="clear" w:pos="2552"/>
          <w:tab w:val="left" w:pos="3544"/>
        </w:tabs>
        <w:spacing w:before="40"/>
        <w:ind w:left="567"/>
      </w:pPr>
      <w:r>
        <w:t>Dichte</w:t>
      </w:r>
      <w:r>
        <w:tab/>
      </w:r>
      <w:r w:rsidRPr="003206F1">
        <w:t xml:space="preserve">0,864 - 0,872 </w:t>
      </w:r>
      <w:r>
        <w:t>g/cm</w:t>
      </w:r>
      <w:r w:rsidRPr="003206F1">
        <w:rPr>
          <w:vertAlign w:val="superscript"/>
        </w:rPr>
        <w:t>3</w:t>
      </w:r>
      <w:r>
        <w:t xml:space="preserve"> (20 °C)</w:t>
      </w:r>
    </w:p>
    <w:p w14:paraId="2E950E85" w14:textId="77777777" w:rsidR="00B465E4" w:rsidRPr="00B465E4" w:rsidRDefault="003206F1" w:rsidP="00433E41">
      <w:pPr>
        <w:tabs>
          <w:tab w:val="clear" w:pos="2552"/>
          <w:tab w:val="left" w:pos="3544"/>
        </w:tabs>
        <w:spacing w:before="40"/>
        <w:ind w:left="567"/>
      </w:pPr>
      <w:r>
        <w:t>Wasserlöslichkeit</w:t>
      </w:r>
      <w:r>
        <w:tab/>
        <w:t>vollkommen mischbar</w:t>
      </w:r>
    </w:p>
    <w:p w14:paraId="275AC8F4" w14:textId="77777777" w:rsidR="00094F9D" w:rsidRPr="003F4582" w:rsidRDefault="00E62762" w:rsidP="00E62762">
      <w:pPr>
        <w:pStyle w:val="berschrift3"/>
      </w:pPr>
      <w:r>
        <w:t>9.2</w:t>
      </w:r>
      <w:r>
        <w:tab/>
      </w:r>
      <w:r w:rsidR="00094F9D" w:rsidRPr="003F4582">
        <w:t>Allgemeine Angaben</w:t>
      </w:r>
    </w:p>
    <w:p w14:paraId="60DBFACD" w14:textId="77777777" w:rsidR="00055F8F" w:rsidRDefault="00E62762" w:rsidP="00433E41">
      <w:pPr>
        <w:spacing w:before="0"/>
        <w:ind w:left="567"/>
      </w:pPr>
      <w:r w:rsidRPr="00E62762">
        <w:t>Keine Daten verfügbar</w:t>
      </w:r>
    </w:p>
    <w:p w14:paraId="72317338" w14:textId="77777777" w:rsidR="009440CB" w:rsidRPr="003F4582" w:rsidRDefault="009440CB" w:rsidP="00E62762">
      <w:pPr>
        <w:pStyle w:val="berschrift2"/>
        <w:pBdr>
          <w:bottom w:val="single" w:sz="4" w:space="1" w:color="auto"/>
        </w:pBdr>
      </w:pPr>
      <w:r w:rsidRPr="003F4582">
        <w:t>10</w:t>
      </w:r>
      <w:r>
        <w:tab/>
      </w:r>
      <w:r w:rsidRPr="003F4582">
        <w:t>Stabilität und Reaktivität</w:t>
      </w:r>
    </w:p>
    <w:p w14:paraId="6E1E28FF" w14:textId="77777777" w:rsidR="009440CB" w:rsidRDefault="00E62762" w:rsidP="00E62762">
      <w:pPr>
        <w:pStyle w:val="berschrift3"/>
      </w:pPr>
      <w:r>
        <w:t>10.1</w:t>
      </w:r>
      <w:r>
        <w:tab/>
      </w:r>
      <w:r w:rsidR="009440CB" w:rsidRPr="00E62762">
        <w:t>Reaktivität</w:t>
      </w:r>
    </w:p>
    <w:p w14:paraId="1617B002" w14:textId="77777777" w:rsidR="00E62762" w:rsidRPr="00E62762" w:rsidRDefault="008A49AE" w:rsidP="00433E41">
      <w:pPr>
        <w:spacing w:before="0"/>
        <w:ind w:left="567"/>
      </w:pPr>
      <w:r w:rsidRPr="008A49AE">
        <w:t>Keine Zersetzung bei bestimmungsgemäßer Lagerung und Anwendung.</w:t>
      </w:r>
    </w:p>
    <w:p w14:paraId="25C7E976" w14:textId="77777777" w:rsidR="009440CB" w:rsidRDefault="00E62762" w:rsidP="00E62762">
      <w:pPr>
        <w:pStyle w:val="berschrift3"/>
      </w:pPr>
      <w:r>
        <w:t>10.2</w:t>
      </w:r>
      <w:r>
        <w:tab/>
      </w:r>
      <w:r w:rsidR="009440CB" w:rsidRPr="00E62762">
        <w:t>Chemische Stabilität</w:t>
      </w:r>
    </w:p>
    <w:p w14:paraId="01541835" w14:textId="77777777" w:rsidR="00E62762" w:rsidRPr="00E62762" w:rsidRDefault="008A49AE" w:rsidP="00433E41">
      <w:pPr>
        <w:spacing w:before="0"/>
        <w:ind w:left="567"/>
      </w:pPr>
      <w:r w:rsidRPr="008A49AE">
        <w:t>Das Produkt ist chemisch stabil.</w:t>
      </w:r>
    </w:p>
    <w:p w14:paraId="12314F8C" w14:textId="77777777" w:rsidR="009440CB" w:rsidRDefault="00E62762" w:rsidP="00E62762">
      <w:pPr>
        <w:pStyle w:val="berschrift3"/>
      </w:pPr>
      <w:r>
        <w:t>10.3</w:t>
      </w:r>
      <w:r>
        <w:tab/>
      </w:r>
      <w:r w:rsidR="008A49AE" w:rsidRPr="00E62762">
        <w:t>Möglichkeit gefährlicher Reaktionen</w:t>
      </w:r>
      <w:r w:rsidR="008A49AE">
        <w:t>:</w:t>
      </w:r>
      <w:r w:rsidR="009440CB" w:rsidRPr="00E62762">
        <w:tab/>
      </w:r>
    </w:p>
    <w:p w14:paraId="08C55A5F" w14:textId="77777777" w:rsidR="00E62762" w:rsidRPr="00E62762" w:rsidRDefault="008A49AE" w:rsidP="00433E41">
      <w:pPr>
        <w:spacing w:before="0"/>
        <w:ind w:left="567"/>
      </w:pPr>
      <w:r>
        <w:t>Keine zu erwarten</w:t>
      </w:r>
      <w:r w:rsidR="00950F21">
        <w:t>.</w:t>
      </w:r>
    </w:p>
    <w:p w14:paraId="1628A972" w14:textId="77777777" w:rsidR="009440CB" w:rsidRDefault="00E62762" w:rsidP="00E62762">
      <w:pPr>
        <w:pStyle w:val="berschrift3"/>
      </w:pPr>
      <w:r>
        <w:t>10.4</w:t>
      </w:r>
      <w:r>
        <w:tab/>
      </w:r>
      <w:r w:rsidR="008A49AE" w:rsidRPr="00E62762">
        <w:t>Thermische Zersetzung/</w:t>
      </w:r>
      <w:r w:rsidR="008A49AE">
        <w:t>z</w:t>
      </w:r>
      <w:r w:rsidR="008A49AE" w:rsidRPr="008A49AE">
        <w:t>u vermeidende Bedingungen</w:t>
      </w:r>
    </w:p>
    <w:p w14:paraId="30F93BB7" w14:textId="77777777" w:rsidR="00E62762" w:rsidRPr="00E62762" w:rsidRDefault="008A49AE" w:rsidP="00433E41">
      <w:pPr>
        <w:spacing w:before="0"/>
        <w:ind w:left="567"/>
      </w:pPr>
      <w:r w:rsidRPr="008A49AE">
        <w:rPr>
          <w:rFonts w:ascii="Arial" w:eastAsiaTheme="minorEastAsia" w:hAnsi="Arial" w:cs="Arial"/>
          <w:color w:val="000000"/>
          <w:sz w:val="18"/>
          <w:szCs w:val="18"/>
          <w:lang w:eastAsia="de-AT"/>
        </w:rPr>
        <w:t>Hitze.</w:t>
      </w:r>
      <w:r>
        <w:rPr>
          <w:rFonts w:ascii="Arial" w:eastAsiaTheme="minorEastAsia" w:hAnsi="Arial" w:cs="Arial"/>
          <w:color w:val="000000"/>
          <w:sz w:val="18"/>
          <w:szCs w:val="18"/>
          <w:lang w:eastAsia="de-AT"/>
        </w:rPr>
        <w:t xml:space="preserve"> Direkte</w:t>
      </w:r>
      <w:r w:rsidRPr="008A49AE">
        <w:rPr>
          <w:rFonts w:ascii="Arial" w:eastAsiaTheme="minorEastAsia" w:hAnsi="Arial" w:cs="Arial"/>
          <w:color w:val="000000"/>
          <w:sz w:val="18"/>
          <w:szCs w:val="18"/>
          <w:lang w:eastAsia="de-AT"/>
        </w:rPr>
        <w:t xml:space="preserve"> Sonneneinstrahlung über längere Zeit. </w:t>
      </w:r>
    </w:p>
    <w:p w14:paraId="6474ADA3" w14:textId="77777777" w:rsidR="00E62762" w:rsidRDefault="00E62762" w:rsidP="00E62762">
      <w:pPr>
        <w:pStyle w:val="berschrift3"/>
      </w:pPr>
      <w:r>
        <w:t>10.5</w:t>
      </w:r>
      <w:r>
        <w:tab/>
      </w:r>
      <w:r w:rsidR="009440CB" w:rsidRPr="00E62762">
        <w:t xml:space="preserve">Unverträgliche Materialien: </w:t>
      </w:r>
    </w:p>
    <w:p w14:paraId="6B3639B7" w14:textId="77777777" w:rsidR="009440CB" w:rsidRPr="00E62762" w:rsidRDefault="008A49AE" w:rsidP="00433E41">
      <w:pPr>
        <w:spacing w:before="0"/>
        <w:ind w:left="567"/>
      </w:pPr>
      <w:r>
        <w:t>Keine bekannt</w:t>
      </w:r>
      <w:r w:rsidR="00984A3F" w:rsidRPr="00E62762">
        <w:t xml:space="preserve"> </w:t>
      </w:r>
    </w:p>
    <w:p w14:paraId="1A510E6E" w14:textId="77777777" w:rsidR="009440CB" w:rsidRDefault="00E62762" w:rsidP="00E62762">
      <w:pPr>
        <w:pStyle w:val="berschrift3"/>
      </w:pPr>
      <w:r>
        <w:t>10.6</w:t>
      </w:r>
      <w:r>
        <w:tab/>
      </w:r>
      <w:r w:rsidR="009440CB" w:rsidRPr="00E62762">
        <w:t>Gefährliche</w:t>
      </w:r>
      <w:r w:rsidR="009440CB" w:rsidRPr="00FF30F7">
        <w:t xml:space="preserve"> Zersetzungsprodukte: </w:t>
      </w:r>
    </w:p>
    <w:p w14:paraId="32A349A2" w14:textId="77777777" w:rsidR="00E62762" w:rsidRPr="00E62762" w:rsidRDefault="008A49AE" w:rsidP="00433E41">
      <w:pPr>
        <w:spacing w:before="0"/>
        <w:ind w:left="567"/>
      </w:pPr>
      <w:r w:rsidRPr="008A49AE">
        <w:t>Keine Daten verfügbar</w:t>
      </w:r>
    </w:p>
    <w:p w14:paraId="3D4CA41E" w14:textId="77777777" w:rsidR="0049762C" w:rsidRDefault="0049762C">
      <w:pPr>
        <w:tabs>
          <w:tab w:val="clear" w:pos="2552"/>
          <w:tab w:val="clear" w:pos="5103"/>
        </w:tabs>
        <w:spacing w:before="0" w:after="200" w:line="276" w:lineRule="auto"/>
        <w:rPr>
          <w:rFonts w:cs="Arial"/>
          <w:bCs/>
          <w:iCs/>
          <w:sz w:val="32"/>
          <w:szCs w:val="28"/>
        </w:rPr>
      </w:pPr>
      <w:r>
        <w:br w:type="page"/>
      </w:r>
    </w:p>
    <w:p w14:paraId="4040EBB0" w14:textId="77777777" w:rsidR="009440CB" w:rsidRPr="003F4582" w:rsidRDefault="009440CB" w:rsidP="00E62762">
      <w:pPr>
        <w:pStyle w:val="berschrift2"/>
        <w:pBdr>
          <w:bottom w:val="single" w:sz="4" w:space="1" w:color="auto"/>
        </w:pBdr>
      </w:pPr>
      <w:r w:rsidRPr="003F4582">
        <w:lastRenderedPageBreak/>
        <w:t>11</w:t>
      </w:r>
      <w:r>
        <w:tab/>
      </w:r>
      <w:r w:rsidRPr="003F4582">
        <w:t>Toxikologische Angaben</w:t>
      </w:r>
    </w:p>
    <w:p w14:paraId="159EA225" w14:textId="77777777" w:rsidR="009440CB" w:rsidRDefault="008A49AE" w:rsidP="00596D91">
      <w:pPr>
        <w:pStyle w:val="berschrift3"/>
      </w:pPr>
      <w:r w:rsidRPr="008A49AE">
        <w:t xml:space="preserve">11.1 </w:t>
      </w:r>
      <w:r w:rsidR="009440CB" w:rsidRPr="008A49AE">
        <w:t>Ang</w:t>
      </w:r>
      <w:r w:rsidR="009440CB" w:rsidRPr="008A49AE">
        <w:rPr>
          <w:rStyle w:val="berschrift3Zchn"/>
        </w:rPr>
        <w:t>aben</w:t>
      </w:r>
      <w:r w:rsidR="009440CB" w:rsidRPr="008A49AE">
        <w:t xml:space="preserve"> zu toxikologischen Wirkungen</w:t>
      </w:r>
    </w:p>
    <w:p w14:paraId="01BF2BCE" w14:textId="77777777" w:rsidR="009440CB" w:rsidRDefault="009440CB" w:rsidP="008A49AE">
      <w:pPr>
        <w:pStyle w:val="berschrift3"/>
        <w:spacing w:before="120"/>
        <w:ind w:left="567"/>
      </w:pPr>
      <w:r w:rsidRPr="003F4582">
        <w:t>Akute Toxizität</w:t>
      </w:r>
      <w:r w:rsidR="008A49AE">
        <w:t>,</w:t>
      </w:r>
      <w:r w:rsidR="008A49AE" w:rsidRPr="008A49AE">
        <w:t xml:space="preserve"> </w:t>
      </w:r>
    </w:p>
    <w:p w14:paraId="1E002075" w14:textId="77777777" w:rsidR="00020248" w:rsidRPr="00020248" w:rsidRDefault="00020248" w:rsidP="008A49AE">
      <w:pPr>
        <w:ind w:left="567"/>
        <w:rPr>
          <w:b/>
        </w:rPr>
      </w:pPr>
      <w:r w:rsidRPr="00020248">
        <w:rPr>
          <w:b/>
        </w:rPr>
        <w:t xml:space="preserve">Produkt: </w:t>
      </w:r>
    </w:p>
    <w:p w14:paraId="05E9D8D7" w14:textId="77777777" w:rsidR="00020248" w:rsidRDefault="00020248" w:rsidP="008A49AE">
      <w:pPr>
        <w:ind w:left="567"/>
      </w:pPr>
      <w:r w:rsidRPr="00020248">
        <w:t>LD50 oral (Maus): ca. 9</w:t>
      </w:r>
      <w:r>
        <w:t>.</w:t>
      </w:r>
      <w:r w:rsidRPr="00020248">
        <w:t>550 mg/kg</w:t>
      </w:r>
    </w:p>
    <w:p w14:paraId="77305A49" w14:textId="77777777" w:rsidR="00020248" w:rsidRDefault="00020248" w:rsidP="008A49AE">
      <w:pPr>
        <w:ind w:left="567"/>
      </w:pPr>
      <w:r w:rsidRPr="00020248">
        <w:rPr>
          <w:b/>
        </w:rPr>
        <w:t>Inhaltsstoffe:</w:t>
      </w:r>
      <w:r>
        <w:t xml:space="preserve"> </w:t>
      </w:r>
    </w:p>
    <w:p w14:paraId="1504ACD7" w14:textId="77777777" w:rsidR="008A49AE" w:rsidRPr="008A49AE" w:rsidRDefault="008A49AE" w:rsidP="008A49AE">
      <w:pPr>
        <w:ind w:left="567"/>
      </w:pPr>
      <w:r w:rsidRPr="008A49AE">
        <w:t>Einstufungsrelevante LD/LC50-Werte:</w:t>
      </w:r>
    </w:p>
    <w:p w14:paraId="6F677391" w14:textId="77777777" w:rsidR="00CB3D03" w:rsidRDefault="00433E41" w:rsidP="008A49AE">
      <w:pPr>
        <w:ind w:left="567"/>
      </w:pPr>
      <w:r>
        <w:rPr>
          <w:b/>
        </w:rPr>
        <w:t>Propan-2-ol (CAS: 67-63-0)</w:t>
      </w:r>
      <w:r>
        <w:rPr>
          <w:b/>
        </w:rPr>
        <w:br/>
      </w:r>
      <w:r w:rsidR="008A49AE">
        <w:t xml:space="preserve">Akute orale Toxizität </w:t>
      </w:r>
      <w:r w:rsidR="008A49AE">
        <w:tab/>
        <w:t>LD50 Oral (Ratte): &gt; 2.000 mg/kg</w:t>
      </w:r>
      <w:r>
        <w:br/>
      </w:r>
      <w:r w:rsidR="008A49AE">
        <w:t>Akute inhalative Toxizität LC50 (Ratte): &gt; 20 mg/l Expositionszeit: 8 h</w:t>
      </w:r>
      <w:r>
        <w:br/>
      </w:r>
      <w:r w:rsidR="008A49AE">
        <w:t>Akute dermale Toxizität LD50 Dermal (Kaninchen): &gt; 2.000 mg/kg</w:t>
      </w:r>
    </w:p>
    <w:p w14:paraId="6EC97C1B" w14:textId="77777777" w:rsidR="00CB3D03" w:rsidRDefault="008A49AE" w:rsidP="000D470C">
      <w:pPr>
        <w:ind w:left="567"/>
      </w:pPr>
      <w:r w:rsidRPr="00CB3D03">
        <w:rPr>
          <w:b/>
        </w:rPr>
        <w:t>Propan-1-ol (CAS: 71-23-8)</w:t>
      </w:r>
      <w:r w:rsidR="00433E41">
        <w:rPr>
          <w:b/>
        </w:rPr>
        <w:br/>
      </w:r>
      <w:r>
        <w:t>Akute orale Toxizität</w:t>
      </w:r>
      <w:r w:rsidR="00CB3D03">
        <w:tab/>
      </w:r>
      <w:r>
        <w:t>LD50 Oral (Ratte): 8.000 mg/kg</w:t>
      </w:r>
      <w:r w:rsidR="00433E41">
        <w:rPr>
          <w:b/>
        </w:rPr>
        <w:br/>
      </w:r>
      <w:r>
        <w:t>Akute inhalative Toxizität</w:t>
      </w:r>
      <w:r w:rsidR="00CB3D03">
        <w:t xml:space="preserve"> </w:t>
      </w:r>
      <w:r>
        <w:t>LC50 (Ratte): &gt; 33,8 mg/l</w:t>
      </w:r>
      <w:r w:rsidR="00CB3D03">
        <w:t xml:space="preserve"> </w:t>
      </w:r>
      <w:r>
        <w:t>Expositionszeit: 4 h</w:t>
      </w:r>
      <w:r w:rsidR="00CB3D03">
        <w:t xml:space="preserve"> </w:t>
      </w:r>
      <w:r>
        <w:t>Methode</w:t>
      </w:r>
      <w:r w:rsidR="00433E41">
        <w:rPr>
          <w:b/>
        </w:rPr>
        <w:br/>
      </w:r>
      <w:r>
        <w:t>Akute dermale Toxizität</w:t>
      </w:r>
      <w:r w:rsidR="00CB3D03">
        <w:t xml:space="preserve"> </w:t>
      </w:r>
      <w:r>
        <w:t>LD50 Dermal (Kaninchen): 4.032 mg/kg</w:t>
      </w:r>
    </w:p>
    <w:p w14:paraId="42AB1085" w14:textId="77777777" w:rsidR="00CB3D03" w:rsidRDefault="00CB3D03" w:rsidP="00CB3D03">
      <w:pPr>
        <w:ind w:left="567"/>
      </w:pPr>
      <w:r w:rsidRPr="00E13798">
        <w:rPr>
          <w:b/>
        </w:rPr>
        <w:t>H</w:t>
      </w:r>
      <w:r w:rsidR="00E13798" w:rsidRPr="00E13798">
        <w:rPr>
          <w:b/>
        </w:rPr>
        <w:t>exetidin</w:t>
      </w:r>
      <w:r w:rsidRPr="00E13798">
        <w:rPr>
          <w:b/>
        </w:rPr>
        <w:t xml:space="preserve"> (</w:t>
      </w:r>
      <w:r w:rsidR="00E13798" w:rsidRPr="00E13798">
        <w:rPr>
          <w:b/>
        </w:rPr>
        <w:t xml:space="preserve">CAS: </w:t>
      </w:r>
      <w:r w:rsidRPr="00E13798">
        <w:rPr>
          <w:b/>
        </w:rPr>
        <w:t>141-94-6)</w:t>
      </w:r>
      <w:r w:rsidR="00433E41">
        <w:rPr>
          <w:b/>
        </w:rPr>
        <w:br/>
      </w:r>
      <w:r w:rsidR="00E13798">
        <w:t>Akute orale Toxizität</w:t>
      </w:r>
      <w:r w:rsidR="00E13798">
        <w:tab/>
      </w:r>
      <w:r>
        <w:t>LD50 Oral Ratte 1430 mg/kg</w:t>
      </w:r>
      <w:r w:rsidR="00433E41">
        <w:rPr>
          <w:b/>
        </w:rPr>
        <w:br/>
      </w:r>
      <w:r w:rsidR="00E13798" w:rsidRPr="00E13798">
        <w:t>Schätzwert Akute</w:t>
      </w:r>
      <w:r w:rsidR="002F3484">
        <w:t>r</w:t>
      </w:r>
      <w:r w:rsidR="00E13798" w:rsidRPr="00E13798">
        <w:t xml:space="preserve"> Toxizität </w:t>
      </w:r>
      <w:r>
        <w:t>ATE</w:t>
      </w:r>
      <w:r w:rsidR="00E13798" w:rsidRPr="00E13798">
        <w:t xml:space="preserve"> - Acute Toxicity Estimates</w:t>
      </w:r>
      <w:r>
        <w:t xml:space="preserve"> (oral) 500,000 mg/kg</w:t>
      </w:r>
      <w:r w:rsidR="00433E41">
        <w:rPr>
          <w:b/>
        </w:rPr>
        <w:br/>
      </w:r>
      <w:r w:rsidR="00E13798" w:rsidRPr="00E13798">
        <w:t xml:space="preserve">Schätzwert Akuter Toxizität </w:t>
      </w:r>
      <w:r>
        <w:t xml:space="preserve">ATE </w:t>
      </w:r>
      <w:r w:rsidR="00E13798" w:rsidRPr="00E13798">
        <w:t xml:space="preserve">- Acute Toxicity Estimates </w:t>
      </w:r>
      <w:r>
        <w:t>(dermal) 1100,000 mg/kg</w:t>
      </w:r>
    </w:p>
    <w:p w14:paraId="37A589C5" w14:textId="77777777" w:rsidR="009440CB" w:rsidRDefault="00653351" w:rsidP="00596D91">
      <w:pPr>
        <w:pStyle w:val="berschrift3"/>
        <w:ind w:left="567"/>
      </w:pPr>
      <w:r w:rsidRPr="00653351">
        <w:t>Ätz-/Reizwirkung auf die Haut</w:t>
      </w:r>
    </w:p>
    <w:p w14:paraId="64A32108" w14:textId="77777777" w:rsidR="00653351" w:rsidRDefault="00653351" w:rsidP="00653351">
      <w:pPr>
        <w:ind w:left="567"/>
      </w:pPr>
      <w:r w:rsidRPr="00653351">
        <w:rPr>
          <w:b/>
        </w:rPr>
        <w:t>Produkt:</w:t>
      </w:r>
      <w:r>
        <w:tab/>
        <w:t xml:space="preserve">Ergebnis: </w:t>
      </w:r>
      <w:r w:rsidRPr="00653351">
        <w:t>Keine Hautreizung</w:t>
      </w:r>
    </w:p>
    <w:p w14:paraId="61372145" w14:textId="77777777" w:rsidR="00653351" w:rsidRPr="00653351" w:rsidRDefault="00653351" w:rsidP="00653351">
      <w:pPr>
        <w:ind w:left="567"/>
        <w:rPr>
          <w:b/>
        </w:rPr>
      </w:pPr>
      <w:r w:rsidRPr="00653351">
        <w:rPr>
          <w:b/>
        </w:rPr>
        <w:t>Inhaltsstoffe:</w:t>
      </w:r>
    </w:p>
    <w:p w14:paraId="1B044D74" w14:textId="77777777" w:rsidR="00653351" w:rsidRDefault="00653351" w:rsidP="00653351">
      <w:pPr>
        <w:ind w:left="567"/>
      </w:pPr>
      <w:r w:rsidRPr="00CB3D03">
        <w:rPr>
          <w:b/>
        </w:rPr>
        <w:t>Propan-2-ol (CAS: 67-63-0)</w:t>
      </w:r>
      <w:r w:rsidR="00433E41">
        <w:br/>
      </w:r>
      <w:r>
        <w:t>Spezies: Kaninchen</w:t>
      </w:r>
      <w:r>
        <w:tab/>
        <w:t>Ergebnis: Keine Hautreizung</w:t>
      </w:r>
    </w:p>
    <w:p w14:paraId="0F1C1883" w14:textId="77777777" w:rsidR="00653351" w:rsidRDefault="00653351" w:rsidP="00653351">
      <w:pPr>
        <w:ind w:left="567"/>
      </w:pPr>
      <w:r w:rsidRPr="00653351">
        <w:rPr>
          <w:b/>
        </w:rPr>
        <w:t>Propan-1-ol (CAS: 71-23-8)</w:t>
      </w:r>
      <w:r w:rsidR="00433E41">
        <w:br/>
      </w:r>
      <w:r>
        <w:t>Spezies: Kaninchen</w:t>
      </w:r>
      <w:r>
        <w:tab/>
        <w:t>Ergebnis: Keine Hautreizung</w:t>
      </w:r>
    </w:p>
    <w:p w14:paraId="43E50400" w14:textId="77777777" w:rsidR="00653351" w:rsidRDefault="00653351" w:rsidP="00653351">
      <w:pPr>
        <w:ind w:left="567"/>
      </w:pPr>
      <w:r w:rsidRPr="00E13798">
        <w:rPr>
          <w:b/>
        </w:rPr>
        <w:t>Hexetidin (CAS: 141-94-6)</w:t>
      </w:r>
      <w:r w:rsidR="00596D91">
        <w:rPr>
          <w:b/>
        </w:rPr>
        <w:br/>
      </w:r>
      <w:r w:rsidR="00F768DE" w:rsidRPr="00F768DE">
        <w:t>Gesundheitsschädlich bei Hautkontakt</w:t>
      </w:r>
    </w:p>
    <w:p w14:paraId="43D7467F" w14:textId="77777777" w:rsidR="000D470C" w:rsidRDefault="000D470C" w:rsidP="00596D91">
      <w:pPr>
        <w:pStyle w:val="berschrift3"/>
        <w:spacing w:before="120"/>
        <w:ind w:left="567"/>
      </w:pPr>
      <w:r w:rsidRPr="000D470C">
        <w:t>Schwere Augenschädigung/-reizung</w:t>
      </w:r>
    </w:p>
    <w:p w14:paraId="34B84F74" w14:textId="77777777" w:rsidR="000D470C" w:rsidRPr="00653351" w:rsidRDefault="000D470C" w:rsidP="000D470C">
      <w:pPr>
        <w:ind w:left="567"/>
        <w:rPr>
          <w:b/>
        </w:rPr>
      </w:pPr>
      <w:r w:rsidRPr="00653351">
        <w:rPr>
          <w:b/>
        </w:rPr>
        <w:t>Inhaltsstoffe:</w:t>
      </w:r>
    </w:p>
    <w:p w14:paraId="1DCCDC66" w14:textId="77777777" w:rsidR="000D470C" w:rsidRDefault="000D470C" w:rsidP="000D470C">
      <w:pPr>
        <w:ind w:left="567"/>
      </w:pPr>
      <w:r w:rsidRPr="00CB3D03">
        <w:rPr>
          <w:b/>
        </w:rPr>
        <w:t>Propan-2-ol (CAS: 67-63-0)</w:t>
      </w:r>
      <w:r w:rsidR="00596D91">
        <w:br/>
      </w:r>
      <w:r>
        <w:t>Spezies: Kaninchen</w:t>
      </w:r>
      <w:r>
        <w:tab/>
        <w:t xml:space="preserve">Ergebnis: </w:t>
      </w:r>
      <w:r w:rsidRPr="000D470C">
        <w:t>Augenreizung</w:t>
      </w:r>
    </w:p>
    <w:p w14:paraId="573004ED" w14:textId="77777777" w:rsidR="000D470C" w:rsidRDefault="000D470C" w:rsidP="000D470C">
      <w:pPr>
        <w:ind w:left="567"/>
      </w:pPr>
      <w:r w:rsidRPr="00653351">
        <w:rPr>
          <w:b/>
        </w:rPr>
        <w:t>Propan-1-ol (CAS: 71-23-8)</w:t>
      </w:r>
      <w:r w:rsidR="00596D91">
        <w:rPr>
          <w:b/>
        </w:rPr>
        <w:br/>
      </w:r>
      <w:r>
        <w:t>Spezies: Kaninchen</w:t>
      </w:r>
      <w:r>
        <w:tab/>
        <w:t xml:space="preserve">Ergebnis: </w:t>
      </w:r>
      <w:r w:rsidRPr="000D470C">
        <w:t>Irreversible Schädigung der Augen</w:t>
      </w:r>
    </w:p>
    <w:p w14:paraId="6839EA10" w14:textId="77777777" w:rsidR="000D470C" w:rsidRDefault="000D470C" w:rsidP="000D470C">
      <w:pPr>
        <w:ind w:left="567"/>
      </w:pPr>
      <w:r w:rsidRPr="00E13798">
        <w:rPr>
          <w:b/>
        </w:rPr>
        <w:t>Hexetidin (CAS: 141-94-6)</w:t>
      </w:r>
      <w:r w:rsidR="00596D91">
        <w:rPr>
          <w:b/>
        </w:rPr>
        <w:br/>
      </w:r>
      <w:r w:rsidR="002F3484">
        <w:t xml:space="preserve">Mensch: </w:t>
      </w:r>
      <w:r w:rsidRPr="00F768DE">
        <w:t>Verursacht schwere Augenreizung</w:t>
      </w:r>
    </w:p>
    <w:p w14:paraId="10D54C38" w14:textId="77777777" w:rsidR="0049762C" w:rsidRDefault="0049762C" w:rsidP="0049762C">
      <w:pPr>
        <w:tabs>
          <w:tab w:val="clear" w:pos="2552"/>
          <w:tab w:val="clear" w:pos="5103"/>
          <w:tab w:val="left" w:pos="3544"/>
        </w:tabs>
        <w:spacing w:before="0"/>
        <w:ind w:left="709"/>
        <w:jc w:val="right"/>
        <w:rPr>
          <w:i/>
        </w:rPr>
      </w:pPr>
    </w:p>
    <w:p w14:paraId="61D9C31A" w14:textId="77777777" w:rsidR="0049762C" w:rsidRDefault="0049762C" w:rsidP="0049762C">
      <w:pPr>
        <w:tabs>
          <w:tab w:val="clear" w:pos="2552"/>
          <w:tab w:val="clear" w:pos="5103"/>
          <w:tab w:val="left" w:pos="3544"/>
        </w:tabs>
        <w:spacing w:before="0"/>
        <w:ind w:left="709"/>
        <w:jc w:val="right"/>
      </w:pPr>
      <w:r w:rsidRPr="00433E41">
        <w:rPr>
          <w:i/>
        </w:rPr>
        <w:t>Fortsetzung nächste Seite</w:t>
      </w:r>
      <w:r>
        <w:rPr>
          <w:i/>
        </w:rPr>
        <w:t>!</w:t>
      </w:r>
    </w:p>
    <w:p w14:paraId="7A1EB693" w14:textId="77777777" w:rsidR="0049762C" w:rsidRDefault="0049762C">
      <w:pPr>
        <w:tabs>
          <w:tab w:val="clear" w:pos="2552"/>
          <w:tab w:val="clear" w:pos="5103"/>
        </w:tabs>
        <w:spacing w:before="0" w:after="200" w:line="276" w:lineRule="auto"/>
        <w:rPr>
          <w:rFonts w:eastAsiaTheme="majorEastAsia" w:cstheme="majorBidi"/>
          <w:bCs/>
          <w:sz w:val="28"/>
        </w:rPr>
      </w:pPr>
      <w:r>
        <w:br w:type="page"/>
      </w:r>
    </w:p>
    <w:p w14:paraId="074F2875" w14:textId="77777777" w:rsidR="00020248" w:rsidRDefault="00020248" w:rsidP="00596D91">
      <w:pPr>
        <w:pStyle w:val="berschrift3"/>
        <w:spacing w:before="120"/>
        <w:ind w:left="567"/>
      </w:pPr>
      <w:r w:rsidRPr="00020248">
        <w:lastRenderedPageBreak/>
        <w:t>Sensibilisierung der Atemwege/Haut</w:t>
      </w:r>
    </w:p>
    <w:p w14:paraId="02CFB825" w14:textId="77777777" w:rsidR="00020248" w:rsidRPr="00653351" w:rsidRDefault="00020248" w:rsidP="00020248">
      <w:pPr>
        <w:ind w:left="567"/>
        <w:rPr>
          <w:b/>
        </w:rPr>
      </w:pPr>
      <w:r w:rsidRPr="00653351">
        <w:rPr>
          <w:b/>
        </w:rPr>
        <w:t>Inhaltsstoffe:</w:t>
      </w:r>
    </w:p>
    <w:p w14:paraId="75D81A49" w14:textId="77777777" w:rsidR="00020248" w:rsidRDefault="00020248" w:rsidP="00020248">
      <w:pPr>
        <w:ind w:left="567"/>
      </w:pPr>
      <w:r w:rsidRPr="00CB3D03">
        <w:rPr>
          <w:b/>
        </w:rPr>
        <w:t>Propan-2-ol (CAS: 67-63-0</w:t>
      </w:r>
      <w:r w:rsidR="00596D91">
        <w:rPr>
          <w:b/>
        </w:rPr>
        <w:t>)</w:t>
      </w:r>
      <w:r w:rsidR="00596D91">
        <w:br/>
      </w:r>
      <w:r>
        <w:t>Spezies: Meerschweinchen Art des Testes: Buehler Test</w:t>
      </w:r>
      <w:r w:rsidR="00596D91">
        <w:br/>
      </w:r>
      <w:r>
        <w:t>Ergebnis: Verursacht keine Sensibilisierung bei Labortieren.</w:t>
      </w:r>
    </w:p>
    <w:p w14:paraId="7E756139" w14:textId="77777777" w:rsidR="00020248" w:rsidRDefault="00596D91" w:rsidP="00020248">
      <w:pPr>
        <w:ind w:left="567"/>
      </w:pPr>
      <w:r>
        <w:rPr>
          <w:b/>
        </w:rPr>
        <w:t>Propan-1-ol (CAS: 71-23-8)</w:t>
      </w:r>
      <w:r>
        <w:br/>
      </w:r>
      <w:r w:rsidR="00020248">
        <w:t>Spezies: Meerschweinchen Methode: OECD Prüfrichtlinie 406</w:t>
      </w:r>
      <w:r>
        <w:br/>
      </w:r>
      <w:r w:rsidR="00020248">
        <w:t>Ergebnis: Verursacht keine Sensibilisierung bei Labortieren.</w:t>
      </w:r>
    </w:p>
    <w:p w14:paraId="781FBE77" w14:textId="77777777" w:rsidR="00020248" w:rsidRDefault="00020248" w:rsidP="00020248">
      <w:pPr>
        <w:ind w:left="567"/>
      </w:pPr>
      <w:r w:rsidRPr="00E13798">
        <w:rPr>
          <w:b/>
        </w:rPr>
        <w:t>Hexetidin (CAS: 141-94-6)</w:t>
      </w:r>
      <w:r w:rsidR="00596D91">
        <w:br/>
      </w:r>
      <w:r>
        <w:t>Keine Daten vorhanden</w:t>
      </w:r>
      <w:r w:rsidR="00950F21">
        <w:t>.</w:t>
      </w:r>
    </w:p>
    <w:p w14:paraId="74DAD7AF" w14:textId="77777777" w:rsidR="009440CB" w:rsidRPr="003F4582" w:rsidRDefault="009440CB" w:rsidP="000D470C">
      <w:pPr>
        <w:ind w:left="567"/>
      </w:pPr>
      <w:r w:rsidRPr="000D470C">
        <w:rPr>
          <w:b/>
        </w:rPr>
        <w:t>Weitere Hinweise:</w:t>
      </w:r>
      <w:r w:rsidRPr="00CA276E">
        <w:rPr>
          <w:b/>
        </w:rPr>
        <w:t xml:space="preserve"> </w:t>
      </w:r>
      <w:r w:rsidRPr="00CA276E">
        <w:tab/>
        <w:t>Das Produkt ist mit der bei Chemikalien nötigen Vorsicht zu handhaben.</w:t>
      </w:r>
    </w:p>
    <w:p w14:paraId="0A91498A" w14:textId="77777777" w:rsidR="00985512" w:rsidRPr="003F4582" w:rsidRDefault="00985512" w:rsidP="00020248">
      <w:pPr>
        <w:pStyle w:val="berschrift2"/>
        <w:pBdr>
          <w:bottom w:val="single" w:sz="4" w:space="1" w:color="auto"/>
        </w:pBdr>
      </w:pPr>
      <w:r w:rsidRPr="003F4582">
        <w:t>12</w:t>
      </w:r>
      <w:r>
        <w:tab/>
      </w:r>
      <w:r w:rsidRPr="003F4582">
        <w:t>Umweltspezifische Angaben</w:t>
      </w:r>
    </w:p>
    <w:p w14:paraId="02BEFB71" w14:textId="77777777" w:rsidR="00985512" w:rsidRDefault="00020248" w:rsidP="003A0460">
      <w:pPr>
        <w:pStyle w:val="berschrift3"/>
      </w:pPr>
      <w:r w:rsidRPr="003A0460">
        <w:t>12.1</w:t>
      </w:r>
      <w:r w:rsidR="003A0460" w:rsidRPr="003A0460">
        <w:tab/>
      </w:r>
      <w:r w:rsidR="00985512" w:rsidRPr="003A0460">
        <w:t>Toxizität</w:t>
      </w:r>
    </w:p>
    <w:p w14:paraId="73C0DC63" w14:textId="77777777" w:rsidR="003A0460" w:rsidRDefault="003A0460" w:rsidP="003A0460">
      <w:pPr>
        <w:tabs>
          <w:tab w:val="clear" w:pos="2552"/>
          <w:tab w:val="clear" w:pos="5103"/>
          <w:tab w:val="left" w:pos="3544"/>
        </w:tabs>
        <w:ind w:left="567"/>
      </w:pPr>
      <w:r w:rsidRPr="00653351">
        <w:rPr>
          <w:b/>
        </w:rPr>
        <w:t>Produkt:</w:t>
      </w:r>
      <w:r>
        <w:tab/>
        <w:t>Keine Daten vorhanden</w:t>
      </w:r>
      <w:r w:rsidR="00950F21">
        <w:t>.</w:t>
      </w:r>
    </w:p>
    <w:p w14:paraId="48D3C6F7" w14:textId="77777777" w:rsidR="00812947" w:rsidRDefault="00812947" w:rsidP="00812947">
      <w:pPr>
        <w:tabs>
          <w:tab w:val="clear" w:pos="2552"/>
          <w:tab w:val="clear" w:pos="5103"/>
          <w:tab w:val="left" w:pos="3544"/>
        </w:tabs>
        <w:ind w:left="567"/>
      </w:pPr>
      <w:r>
        <w:rPr>
          <w:b/>
        </w:rPr>
        <w:t>Inhaltsstoffe:</w:t>
      </w:r>
      <w:r>
        <w:br/>
      </w:r>
      <w:r w:rsidRPr="00812947">
        <w:rPr>
          <w:b/>
        </w:rPr>
        <w:t>Propan-2-ol (CAS: 67-63-0)</w:t>
      </w:r>
      <w:r>
        <w:br/>
        <w:t>Toxizität gegenüber Fischen</w:t>
      </w:r>
      <w:r>
        <w:tab/>
        <w:t xml:space="preserve">LC50 (Leuciscus idus (Goldorfe)) &gt; 100 mg/l </w:t>
      </w:r>
      <w:r>
        <w:br/>
      </w:r>
      <w:r>
        <w:tab/>
        <w:t>Expositionszeit: 48 h</w:t>
      </w:r>
      <w:r>
        <w:br/>
        <w:t>Toxizität gegenüber Daphnien und anderen wirbellosen Wassertieren</w:t>
      </w:r>
      <w:r>
        <w:br/>
      </w:r>
      <w:r>
        <w:tab/>
        <w:t>EC50 (Daphnia magna (Großer Wasserfloh)): &gt; 100 mg/l</w:t>
      </w:r>
      <w:r>
        <w:br/>
      </w:r>
      <w:r>
        <w:tab/>
        <w:t>Expositionszeit: 48 h</w:t>
      </w:r>
      <w:r>
        <w:br/>
        <w:t>Toxizität gegenüber Algen</w:t>
      </w:r>
      <w:r>
        <w:tab/>
        <w:t>EC50 (Scenedesmus capricorn. (Süsswasseralge)): &gt; 100 mg/l</w:t>
      </w:r>
    </w:p>
    <w:p w14:paraId="7F84CC04" w14:textId="77777777" w:rsidR="00596D91" w:rsidRDefault="00812947" w:rsidP="00596D91">
      <w:pPr>
        <w:tabs>
          <w:tab w:val="clear" w:pos="2552"/>
          <w:tab w:val="clear" w:pos="5103"/>
          <w:tab w:val="left" w:pos="3544"/>
        </w:tabs>
        <w:ind w:left="708"/>
      </w:pPr>
      <w:r>
        <w:tab/>
        <w:t>Expositionszeit: 72 h</w:t>
      </w:r>
    </w:p>
    <w:p w14:paraId="2493B0F0" w14:textId="77777777" w:rsidR="002D0518" w:rsidRDefault="00812947" w:rsidP="002D0518">
      <w:pPr>
        <w:tabs>
          <w:tab w:val="clear" w:pos="2552"/>
          <w:tab w:val="clear" w:pos="5103"/>
          <w:tab w:val="left" w:pos="3544"/>
        </w:tabs>
        <w:ind w:left="567"/>
      </w:pPr>
      <w:r>
        <w:rPr>
          <w:b/>
        </w:rPr>
        <w:t>Propan-1-ol (CAS: 71-23-8)</w:t>
      </w:r>
      <w:r>
        <w:rPr>
          <w:b/>
        </w:rPr>
        <w:br/>
      </w:r>
      <w:r w:rsidR="002D0518">
        <w:t>Toxizität gegenüber Fischen</w:t>
      </w:r>
      <w:r w:rsidR="002D0518">
        <w:tab/>
        <w:t>LC50 (Pimephales promelas (fettköpfige Elritze)): 4.555 mg/l</w:t>
      </w:r>
      <w:r w:rsidR="002D0518">
        <w:br/>
      </w:r>
      <w:r w:rsidR="002D0518">
        <w:tab/>
        <w:t>Expositionszeit: 96 h Art des Testes: Durchflusstest</w:t>
      </w:r>
      <w:r w:rsidR="002D0518">
        <w:br/>
      </w:r>
      <w:r w:rsidR="002D0518">
        <w:tab/>
      </w:r>
      <w:r w:rsidR="002D0518" w:rsidRPr="00812947">
        <w:t>LC50 Goldorfe (OECD 203) 0,5 mg/l</w:t>
      </w:r>
      <w:r w:rsidR="002D0518">
        <w:t>,</w:t>
      </w:r>
      <w:r w:rsidR="002D0518" w:rsidRPr="003A0CEA">
        <w:t xml:space="preserve"> </w:t>
      </w:r>
      <w:r w:rsidR="002D0518">
        <w:t xml:space="preserve">Expositionszeit: </w:t>
      </w:r>
      <w:r w:rsidR="002D0518" w:rsidRPr="00812947">
        <w:t>96h</w:t>
      </w:r>
    </w:p>
    <w:p w14:paraId="50F7A7DA" w14:textId="77777777" w:rsidR="00812947" w:rsidRDefault="00812947" w:rsidP="00812947">
      <w:pPr>
        <w:tabs>
          <w:tab w:val="clear" w:pos="2552"/>
          <w:tab w:val="clear" w:pos="5103"/>
          <w:tab w:val="left" w:pos="3544"/>
        </w:tabs>
        <w:ind w:left="567"/>
      </w:pPr>
      <w:r>
        <w:t>Toxizität gegenüber Daphnien und anderen wirbellosen Wassertieren</w:t>
      </w:r>
      <w:r>
        <w:br/>
      </w:r>
      <w:r>
        <w:tab/>
        <w:t>EC50 (Daphnia magna (Großer Wasserfloh)): 3.644 mg/l</w:t>
      </w:r>
      <w:r>
        <w:br/>
      </w:r>
      <w:r>
        <w:tab/>
        <w:t>Expositionszeit: 48 h, Methode: DIN 38412</w:t>
      </w:r>
    </w:p>
    <w:p w14:paraId="47EF26AB" w14:textId="77777777" w:rsidR="00812947" w:rsidRDefault="00812947" w:rsidP="00812947">
      <w:pPr>
        <w:tabs>
          <w:tab w:val="clear" w:pos="2552"/>
          <w:tab w:val="clear" w:pos="5103"/>
          <w:tab w:val="left" w:pos="3544"/>
        </w:tabs>
        <w:ind w:left="567"/>
      </w:pPr>
      <w:r>
        <w:t>Toxizität gegenüber Algen</w:t>
      </w:r>
      <w:r>
        <w:tab/>
        <w:t>NOEC (Chlorella vulgaris (Süßwasseralge)): 1.150 mg/l</w:t>
      </w:r>
      <w:r>
        <w:br/>
      </w:r>
      <w:r>
        <w:tab/>
        <w:t>Expositionszeit: 48 h</w:t>
      </w:r>
    </w:p>
    <w:p w14:paraId="3CAB4B1C" w14:textId="77777777" w:rsidR="00812947" w:rsidRDefault="00812947" w:rsidP="00812947">
      <w:pPr>
        <w:tabs>
          <w:tab w:val="clear" w:pos="2552"/>
          <w:tab w:val="clear" w:pos="5103"/>
          <w:tab w:val="left" w:pos="3544"/>
        </w:tabs>
        <w:ind w:left="567"/>
      </w:pPr>
      <w:r>
        <w:t>Toxizität gegenüber Bakterien</w:t>
      </w:r>
      <w:r>
        <w:tab/>
        <w:t>IC50 (Bakterien): &gt; 1.000 mg/l</w:t>
      </w:r>
      <w:r>
        <w:br/>
      </w:r>
      <w:r>
        <w:tab/>
        <w:t>Expositionszeit: 3 h Methode: OECD- Prüfrichtlinie 209</w:t>
      </w:r>
    </w:p>
    <w:p w14:paraId="126D349C" w14:textId="77777777" w:rsidR="00985512" w:rsidRDefault="003A0460" w:rsidP="003A0460">
      <w:pPr>
        <w:pStyle w:val="berschrift3"/>
      </w:pPr>
      <w:r w:rsidRPr="003A0460">
        <w:t>12.2</w:t>
      </w:r>
      <w:r>
        <w:tab/>
      </w:r>
      <w:r w:rsidRPr="003A0460">
        <w:t>Persistenz und Abbaubarkeit</w:t>
      </w:r>
    </w:p>
    <w:p w14:paraId="02880A6F" w14:textId="77777777" w:rsidR="003A0460" w:rsidRDefault="003A0460" w:rsidP="003A0460">
      <w:pPr>
        <w:tabs>
          <w:tab w:val="clear" w:pos="2552"/>
          <w:tab w:val="clear" w:pos="5103"/>
          <w:tab w:val="left" w:pos="3544"/>
        </w:tabs>
        <w:ind w:left="567"/>
      </w:pPr>
      <w:r w:rsidRPr="00653351">
        <w:rPr>
          <w:b/>
        </w:rPr>
        <w:t>Produkt:</w:t>
      </w:r>
      <w:r>
        <w:tab/>
      </w:r>
      <w:r w:rsidRPr="003A0460">
        <w:t>Leicht biologisch abbaubar. OECD 301D / EEC 84/449 C6</w:t>
      </w:r>
      <w:r w:rsidR="00950F21">
        <w:t>.</w:t>
      </w:r>
    </w:p>
    <w:p w14:paraId="3804FBEC" w14:textId="77777777" w:rsidR="00966BE2" w:rsidRDefault="003A0460" w:rsidP="00966BE2">
      <w:pPr>
        <w:tabs>
          <w:tab w:val="clear" w:pos="2552"/>
          <w:tab w:val="clear" w:pos="5103"/>
          <w:tab w:val="left" w:pos="3544"/>
        </w:tabs>
        <w:ind w:left="567"/>
      </w:pPr>
      <w:r w:rsidRPr="00CB3D03">
        <w:rPr>
          <w:b/>
        </w:rPr>
        <w:t>Propan-2-ol (CAS: 67-63-0):</w:t>
      </w:r>
      <w:r>
        <w:rPr>
          <w:b/>
        </w:rPr>
        <w:tab/>
      </w:r>
      <w:r w:rsidRPr="003A0460">
        <w:t>Leicht biologisch abbaubar</w:t>
      </w:r>
      <w:r w:rsidR="00966BE2">
        <w:t>.</w:t>
      </w:r>
    </w:p>
    <w:p w14:paraId="32415E09" w14:textId="77777777" w:rsidR="003A0460" w:rsidRPr="00653351" w:rsidRDefault="003A0460" w:rsidP="00966BE2">
      <w:pPr>
        <w:tabs>
          <w:tab w:val="clear" w:pos="2552"/>
          <w:tab w:val="clear" w:pos="5103"/>
          <w:tab w:val="left" w:pos="3544"/>
        </w:tabs>
        <w:ind w:left="567"/>
        <w:rPr>
          <w:b/>
        </w:rPr>
      </w:pPr>
      <w:r w:rsidRPr="00653351">
        <w:rPr>
          <w:b/>
        </w:rPr>
        <w:t>Propan-1-ol (CAS: 71-23-8):</w:t>
      </w:r>
      <w:r w:rsidR="00966BE2" w:rsidRPr="00966BE2">
        <w:rPr>
          <w:b/>
        </w:rPr>
        <w:t xml:space="preserve"> </w:t>
      </w:r>
      <w:r w:rsidR="00966BE2">
        <w:rPr>
          <w:b/>
        </w:rPr>
        <w:tab/>
      </w:r>
      <w:r w:rsidR="00966BE2" w:rsidRPr="003A0460">
        <w:t>Leicht biologisch abbaubar</w:t>
      </w:r>
      <w:r w:rsidR="00966BE2">
        <w:t>.</w:t>
      </w:r>
    </w:p>
    <w:p w14:paraId="10C14CD3" w14:textId="77777777" w:rsidR="003A0460" w:rsidRPr="00966BE2" w:rsidRDefault="003A0460" w:rsidP="00966BE2">
      <w:pPr>
        <w:tabs>
          <w:tab w:val="clear" w:pos="5103"/>
          <w:tab w:val="left" w:pos="3544"/>
        </w:tabs>
        <w:ind w:left="567"/>
      </w:pPr>
      <w:r w:rsidRPr="00E13798">
        <w:rPr>
          <w:b/>
        </w:rPr>
        <w:t>Hexetidin (CAS: 141-94-6)</w:t>
      </w:r>
      <w:r w:rsidR="00966BE2">
        <w:rPr>
          <w:b/>
        </w:rPr>
        <w:t>:</w:t>
      </w:r>
      <w:r w:rsidR="00966BE2">
        <w:rPr>
          <w:b/>
        </w:rPr>
        <w:tab/>
      </w:r>
      <w:r w:rsidR="00CB55C2">
        <w:t>Zeigt ein hohes Bioakkumulations-Poten</w:t>
      </w:r>
      <w:r w:rsidR="0088391A">
        <w:t>z</w:t>
      </w:r>
      <w:r w:rsidR="00CB55C2">
        <w:t>ial</w:t>
      </w:r>
    </w:p>
    <w:p w14:paraId="62ACEE0D" w14:textId="77777777" w:rsidR="003A0460" w:rsidRDefault="003A0460" w:rsidP="003A0460">
      <w:pPr>
        <w:pStyle w:val="berschrift3"/>
      </w:pPr>
      <w:r w:rsidRPr="003A0460">
        <w:lastRenderedPageBreak/>
        <w:t>12.3</w:t>
      </w:r>
      <w:r>
        <w:tab/>
      </w:r>
      <w:r w:rsidRPr="003A0460">
        <w:t>Bioakkumulationspotenzial</w:t>
      </w:r>
    </w:p>
    <w:p w14:paraId="1F3559CB" w14:textId="77777777" w:rsidR="003A0460" w:rsidRPr="003A0460" w:rsidRDefault="002F3484" w:rsidP="002F3484">
      <w:pPr>
        <w:tabs>
          <w:tab w:val="clear" w:pos="5103"/>
          <w:tab w:val="left" w:pos="3544"/>
        </w:tabs>
        <w:ind w:left="567"/>
      </w:pPr>
      <w:r w:rsidRPr="00E13798">
        <w:rPr>
          <w:b/>
        </w:rPr>
        <w:t>Hexetidin (CAS: 141-94-6)</w:t>
      </w:r>
      <w:r>
        <w:rPr>
          <w:b/>
        </w:rPr>
        <w:t>:</w:t>
      </w:r>
      <w:r>
        <w:rPr>
          <w:b/>
        </w:rPr>
        <w:tab/>
      </w:r>
      <w:r>
        <w:t>LogP</w:t>
      </w:r>
      <w:r w:rsidRPr="00CB55C2">
        <w:rPr>
          <w:vertAlign w:val="subscript"/>
        </w:rPr>
        <w:t>ow</w:t>
      </w:r>
      <w:r>
        <w:t xml:space="preserve"> 5,26 bei 20°C</w:t>
      </w:r>
    </w:p>
    <w:p w14:paraId="5CC277E4" w14:textId="77777777" w:rsidR="00985512" w:rsidRDefault="003A0460" w:rsidP="003A0460">
      <w:pPr>
        <w:pStyle w:val="berschrift3"/>
      </w:pPr>
      <w:r w:rsidRPr="003A0460">
        <w:t>12.4</w:t>
      </w:r>
      <w:r>
        <w:tab/>
      </w:r>
      <w:r w:rsidRPr="003A0460">
        <w:t>Mobilität im Boden</w:t>
      </w:r>
    </w:p>
    <w:p w14:paraId="2B7E5A0B" w14:textId="77777777" w:rsidR="003A0460" w:rsidRPr="003A0460" w:rsidRDefault="00966BE2" w:rsidP="00966BE2">
      <w:pPr>
        <w:ind w:left="567"/>
      </w:pPr>
      <w:r w:rsidRPr="00966BE2">
        <w:t>Keine Daten verfügbar</w:t>
      </w:r>
      <w:r w:rsidR="00950F21">
        <w:t>.</w:t>
      </w:r>
    </w:p>
    <w:p w14:paraId="29512746" w14:textId="77777777" w:rsidR="00985512" w:rsidRPr="003A0460" w:rsidRDefault="003A0460" w:rsidP="003A0460">
      <w:pPr>
        <w:pStyle w:val="berschrift3"/>
      </w:pPr>
      <w:r w:rsidRPr="003A0460">
        <w:t>12.5</w:t>
      </w:r>
      <w:r>
        <w:tab/>
      </w:r>
      <w:r w:rsidR="00985512" w:rsidRPr="003A0460">
        <w:t>Ergebnisse der PBT- und vPvB-Beurteilung</w:t>
      </w:r>
    </w:p>
    <w:p w14:paraId="295C62A7" w14:textId="77777777" w:rsidR="00985512" w:rsidRPr="003A0460" w:rsidRDefault="00966BE2" w:rsidP="00966BE2">
      <w:pPr>
        <w:ind w:left="567"/>
      </w:pPr>
      <w:r w:rsidRPr="00966BE2">
        <w:t xml:space="preserve">Keine </w:t>
      </w:r>
      <w:r w:rsidR="002F3484">
        <w:t xml:space="preserve">weiteren </w:t>
      </w:r>
      <w:r w:rsidRPr="00966BE2">
        <w:t>Daten verfügbar</w:t>
      </w:r>
      <w:r w:rsidR="00950F21">
        <w:t>.</w:t>
      </w:r>
    </w:p>
    <w:p w14:paraId="58415950" w14:textId="77777777" w:rsidR="002F3484" w:rsidRPr="003A0460" w:rsidRDefault="002F3484" w:rsidP="002F3484">
      <w:pPr>
        <w:pStyle w:val="berschrift3"/>
      </w:pPr>
      <w:r w:rsidRPr="003A0460">
        <w:t>12.</w:t>
      </w:r>
      <w:r>
        <w:t>6</w:t>
      </w:r>
      <w:r>
        <w:tab/>
      </w:r>
      <w:r w:rsidRPr="002F3484">
        <w:t>Andere schädliche Wirkungen</w:t>
      </w:r>
    </w:p>
    <w:p w14:paraId="5E0C3830" w14:textId="77777777" w:rsidR="002F3484" w:rsidRPr="003A0460" w:rsidRDefault="002F3484" w:rsidP="002F3484">
      <w:pPr>
        <w:ind w:left="567"/>
      </w:pPr>
      <w:r w:rsidRPr="00966BE2">
        <w:t xml:space="preserve">Keine </w:t>
      </w:r>
      <w:r>
        <w:t xml:space="preserve">weiteren </w:t>
      </w:r>
      <w:r w:rsidRPr="00966BE2">
        <w:t>Daten verfügbar</w:t>
      </w:r>
      <w:r w:rsidR="00950F21">
        <w:t>.</w:t>
      </w:r>
    </w:p>
    <w:p w14:paraId="15D47962" w14:textId="77777777" w:rsidR="00985512" w:rsidRPr="003F4582" w:rsidRDefault="00985512" w:rsidP="00966BE2">
      <w:pPr>
        <w:pStyle w:val="berschrift2"/>
        <w:pBdr>
          <w:bottom w:val="single" w:sz="4" w:space="1" w:color="auto"/>
        </w:pBdr>
      </w:pPr>
      <w:r w:rsidRPr="003F4582">
        <w:t>13</w:t>
      </w:r>
      <w:r>
        <w:tab/>
      </w:r>
      <w:r w:rsidRPr="003F4582">
        <w:t>Hinweise zur Entsorgung</w:t>
      </w:r>
    </w:p>
    <w:p w14:paraId="13416651" w14:textId="77777777" w:rsidR="00985512" w:rsidRPr="003F4582" w:rsidRDefault="00966BE2" w:rsidP="00966BE2">
      <w:pPr>
        <w:pStyle w:val="berschrift3"/>
      </w:pPr>
      <w:r w:rsidRPr="00966BE2">
        <w:t>13.1</w:t>
      </w:r>
      <w:r w:rsidRPr="00966BE2">
        <w:tab/>
      </w:r>
      <w:r w:rsidR="00985512" w:rsidRPr="00966BE2">
        <w:t>Verfahren der Abfallbehandlung</w:t>
      </w:r>
    </w:p>
    <w:p w14:paraId="4EFEF05D" w14:textId="77777777" w:rsidR="009440CB" w:rsidRDefault="00985512" w:rsidP="00B42B45">
      <w:pPr>
        <w:ind w:left="567"/>
      </w:pPr>
      <w:r w:rsidRPr="00966BE2">
        <w:t>Empfehlung:</w:t>
      </w:r>
      <w:r w:rsidRPr="00FF30F7">
        <w:rPr>
          <w:b/>
        </w:rPr>
        <w:t xml:space="preserve"> </w:t>
      </w:r>
      <w:r w:rsidRPr="002C1043">
        <w:rPr>
          <w:szCs w:val="22"/>
        </w:rPr>
        <w:t xml:space="preserve">Inhalt/Behälter </w:t>
      </w:r>
      <w:r w:rsidR="00B42B45">
        <w:rPr>
          <w:szCs w:val="22"/>
        </w:rPr>
        <w:t>u</w:t>
      </w:r>
      <w:r w:rsidR="00B42B45" w:rsidRPr="00B42B45">
        <w:rPr>
          <w:szCs w:val="22"/>
        </w:rPr>
        <w:t>nter Beachtung der örtlichen und nationalen gesetzlichen Vorschriften als gefährliche</w:t>
      </w:r>
      <w:r w:rsidR="00B42B45">
        <w:rPr>
          <w:szCs w:val="22"/>
        </w:rPr>
        <w:t>n</w:t>
      </w:r>
      <w:r w:rsidR="00B42B45" w:rsidRPr="00B42B45">
        <w:rPr>
          <w:szCs w:val="22"/>
        </w:rPr>
        <w:t xml:space="preserve"> Abfall entsorgen.</w:t>
      </w:r>
      <w:r>
        <w:rPr>
          <w:szCs w:val="22"/>
        </w:rPr>
        <w:br/>
      </w:r>
      <w:r w:rsidRPr="003F4582">
        <w:t>Die Entsorgung ist in Ländern und Gemeinden unterschiedlich geregelt, deshalb ist die Entsorgungsart bei den örtlichen</w:t>
      </w:r>
      <w:r>
        <w:t xml:space="preserve"> </w:t>
      </w:r>
      <w:r w:rsidRPr="003F4582">
        <w:t>Behörden zu erfragen.</w:t>
      </w:r>
    </w:p>
    <w:p w14:paraId="25580FCE" w14:textId="77777777" w:rsidR="00B42B45" w:rsidRDefault="00B42B45" w:rsidP="00B42B45">
      <w:pPr>
        <w:pStyle w:val="berschrift2"/>
        <w:pBdr>
          <w:bottom w:val="single" w:sz="4" w:space="1" w:color="auto"/>
        </w:pBdr>
      </w:pPr>
      <w:r w:rsidRPr="003F4582">
        <w:t>1</w:t>
      </w:r>
      <w:r>
        <w:t>4</w:t>
      </w:r>
      <w:r>
        <w:tab/>
      </w:r>
      <w:r w:rsidRPr="00B42B45">
        <w:t>Angaben zum Transport</w:t>
      </w:r>
    </w:p>
    <w:p w14:paraId="3E631A84" w14:textId="77777777" w:rsidR="00B42B45" w:rsidRDefault="00B42B45" w:rsidP="00B42B45">
      <w:pPr>
        <w:pStyle w:val="berschrift3"/>
      </w:pPr>
      <w:r>
        <w:t xml:space="preserve">14.1 </w:t>
      </w:r>
      <w:r>
        <w:tab/>
        <w:t>UN-Nummer</w:t>
      </w:r>
    </w:p>
    <w:p w14:paraId="7AFD1B22" w14:textId="77777777" w:rsidR="00B42B45" w:rsidRDefault="00B42B45" w:rsidP="009F2346">
      <w:pPr>
        <w:tabs>
          <w:tab w:val="clear" w:pos="2552"/>
          <w:tab w:val="left" w:pos="3686"/>
        </w:tabs>
        <w:spacing w:before="40"/>
      </w:pPr>
      <w:r w:rsidRPr="00E239AE">
        <w:rPr>
          <w:b/>
        </w:rPr>
        <w:t>ADR</w:t>
      </w:r>
      <w:r>
        <w:tab/>
        <w:t>UN 1987</w:t>
      </w:r>
    </w:p>
    <w:p w14:paraId="5B06D7BE" w14:textId="77777777" w:rsidR="00B42B45" w:rsidRDefault="00B42B45" w:rsidP="009F2346">
      <w:pPr>
        <w:tabs>
          <w:tab w:val="clear" w:pos="2552"/>
          <w:tab w:val="left" w:pos="3686"/>
        </w:tabs>
        <w:spacing w:before="40"/>
      </w:pPr>
      <w:r w:rsidRPr="00E239AE">
        <w:rPr>
          <w:b/>
        </w:rPr>
        <w:t>IMDG</w:t>
      </w:r>
      <w:r>
        <w:tab/>
        <w:t>UN 1987</w:t>
      </w:r>
    </w:p>
    <w:p w14:paraId="308F7F8C" w14:textId="77777777" w:rsidR="00B42B45" w:rsidRDefault="00B42B45" w:rsidP="009F2346">
      <w:pPr>
        <w:tabs>
          <w:tab w:val="clear" w:pos="2552"/>
          <w:tab w:val="clear" w:pos="5103"/>
          <w:tab w:val="left" w:pos="3686"/>
          <w:tab w:val="right" w:pos="9070"/>
        </w:tabs>
        <w:spacing w:before="40"/>
      </w:pPr>
      <w:r w:rsidRPr="00E239AE">
        <w:rPr>
          <w:b/>
        </w:rPr>
        <w:t>IATA</w:t>
      </w:r>
      <w:r>
        <w:tab/>
        <w:t>UN 1987</w:t>
      </w:r>
    </w:p>
    <w:p w14:paraId="0C1CEA71" w14:textId="77777777" w:rsidR="00B42B45" w:rsidRDefault="00B42B45" w:rsidP="00E239AE">
      <w:pPr>
        <w:pStyle w:val="berschrift3"/>
        <w:tabs>
          <w:tab w:val="left" w:pos="3686"/>
        </w:tabs>
      </w:pPr>
      <w:r>
        <w:t>14.2</w:t>
      </w:r>
      <w:r w:rsidR="00E239AE">
        <w:tab/>
      </w:r>
      <w:r>
        <w:t>Ordnungsgemäße UN-Versandbezeichnung</w:t>
      </w:r>
    </w:p>
    <w:p w14:paraId="4C5A9697" w14:textId="77777777" w:rsidR="00B42B45" w:rsidRDefault="00B42B45" w:rsidP="009F2346">
      <w:pPr>
        <w:tabs>
          <w:tab w:val="clear" w:pos="2552"/>
          <w:tab w:val="left" w:pos="3686"/>
        </w:tabs>
        <w:spacing w:before="40"/>
      </w:pPr>
      <w:r w:rsidRPr="00E239AE">
        <w:rPr>
          <w:b/>
        </w:rPr>
        <w:t>ADR</w:t>
      </w:r>
      <w:r w:rsidR="00E239AE">
        <w:tab/>
      </w:r>
      <w:r>
        <w:t>ALKOHOLE, N.A.G.</w:t>
      </w:r>
      <w:r w:rsidR="00E239AE">
        <w:t xml:space="preserve"> </w:t>
      </w:r>
      <w:r>
        <w:t>(Isopropanol, n-Propanol)</w:t>
      </w:r>
    </w:p>
    <w:p w14:paraId="4A4FF8C5" w14:textId="77777777" w:rsidR="00B42B45" w:rsidRDefault="00B42B45" w:rsidP="009F2346">
      <w:pPr>
        <w:tabs>
          <w:tab w:val="clear" w:pos="2552"/>
          <w:tab w:val="left" w:pos="3686"/>
        </w:tabs>
        <w:spacing w:before="40"/>
      </w:pPr>
      <w:r w:rsidRPr="00E239AE">
        <w:rPr>
          <w:b/>
        </w:rPr>
        <w:t>IMDG</w:t>
      </w:r>
      <w:r w:rsidR="00E239AE">
        <w:tab/>
      </w:r>
      <w:r>
        <w:t>ALCOHOLS, N.O.S.</w:t>
      </w:r>
      <w:r w:rsidR="00E239AE">
        <w:t xml:space="preserve"> (isopropanol, n-propanol)</w:t>
      </w:r>
    </w:p>
    <w:p w14:paraId="79077634" w14:textId="77777777" w:rsidR="00B42B45" w:rsidRDefault="00B42B45" w:rsidP="009F2346">
      <w:pPr>
        <w:tabs>
          <w:tab w:val="clear" w:pos="2552"/>
          <w:tab w:val="left" w:pos="3686"/>
        </w:tabs>
        <w:spacing w:before="40"/>
      </w:pPr>
      <w:r w:rsidRPr="00E239AE">
        <w:rPr>
          <w:b/>
        </w:rPr>
        <w:t>IATA</w:t>
      </w:r>
      <w:r w:rsidR="00E239AE">
        <w:tab/>
      </w:r>
      <w:r>
        <w:t>ALCOHOLS, N.O.S.</w:t>
      </w:r>
      <w:r w:rsidR="00E239AE">
        <w:t xml:space="preserve"> </w:t>
      </w:r>
      <w:r>
        <w:t>(isopropanol, n-propanol)</w:t>
      </w:r>
    </w:p>
    <w:p w14:paraId="2E4EA486" w14:textId="77777777" w:rsidR="00B42B45" w:rsidRDefault="00B42B45" w:rsidP="00E239AE">
      <w:pPr>
        <w:pStyle w:val="berschrift3"/>
        <w:tabs>
          <w:tab w:val="clear" w:pos="2552"/>
          <w:tab w:val="left" w:pos="3686"/>
        </w:tabs>
      </w:pPr>
      <w:r>
        <w:t>14.3</w:t>
      </w:r>
      <w:r>
        <w:tab/>
        <w:t>Transportgefahrenklassen</w:t>
      </w:r>
    </w:p>
    <w:p w14:paraId="1A0A776F" w14:textId="77777777" w:rsidR="00B42B45" w:rsidRDefault="00B42B45" w:rsidP="009F2346">
      <w:pPr>
        <w:tabs>
          <w:tab w:val="clear" w:pos="2552"/>
          <w:tab w:val="left" w:pos="3686"/>
        </w:tabs>
        <w:spacing w:before="40"/>
      </w:pPr>
      <w:r w:rsidRPr="00E239AE">
        <w:rPr>
          <w:b/>
        </w:rPr>
        <w:t>ADR</w:t>
      </w:r>
      <w:r w:rsidR="00E239AE">
        <w:tab/>
      </w:r>
      <w:r>
        <w:t>3</w:t>
      </w:r>
    </w:p>
    <w:p w14:paraId="1E948D21" w14:textId="77777777" w:rsidR="00B42B45" w:rsidRDefault="00B42B45" w:rsidP="009F2346">
      <w:pPr>
        <w:tabs>
          <w:tab w:val="clear" w:pos="2552"/>
          <w:tab w:val="left" w:pos="3686"/>
        </w:tabs>
        <w:spacing w:before="40"/>
      </w:pPr>
      <w:r w:rsidRPr="00E239AE">
        <w:rPr>
          <w:b/>
        </w:rPr>
        <w:t>IMDG</w:t>
      </w:r>
      <w:r w:rsidR="00E239AE">
        <w:tab/>
      </w:r>
      <w:r>
        <w:t>3</w:t>
      </w:r>
    </w:p>
    <w:p w14:paraId="43F7007B" w14:textId="77777777" w:rsidR="00B42B45" w:rsidRDefault="00B42B45" w:rsidP="009F2346">
      <w:pPr>
        <w:tabs>
          <w:tab w:val="clear" w:pos="2552"/>
          <w:tab w:val="left" w:pos="3686"/>
        </w:tabs>
        <w:spacing w:before="40"/>
      </w:pPr>
      <w:r w:rsidRPr="00E239AE">
        <w:rPr>
          <w:b/>
        </w:rPr>
        <w:t>IATA</w:t>
      </w:r>
      <w:r w:rsidR="00E239AE">
        <w:tab/>
      </w:r>
      <w:r>
        <w:t>3</w:t>
      </w:r>
    </w:p>
    <w:p w14:paraId="75DA522F" w14:textId="77777777" w:rsidR="00B42B45" w:rsidRDefault="00B42B45" w:rsidP="00E239AE">
      <w:pPr>
        <w:pStyle w:val="berschrift3"/>
        <w:tabs>
          <w:tab w:val="clear" w:pos="2552"/>
          <w:tab w:val="left" w:pos="3686"/>
        </w:tabs>
      </w:pPr>
      <w:r>
        <w:t>14.4</w:t>
      </w:r>
      <w:r>
        <w:tab/>
        <w:t>Verpackungsgruppe</w:t>
      </w:r>
    </w:p>
    <w:p w14:paraId="538FDDAB" w14:textId="77777777" w:rsidR="00B42B45" w:rsidRPr="00E239AE" w:rsidRDefault="00B42B45" w:rsidP="009F2346">
      <w:pPr>
        <w:tabs>
          <w:tab w:val="clear" w:pos="2552"/>
          <w:tab w:val="left" w:pos="3686"/>
        </w:tabs>
        <w:spacing w:before="40"/>
        <w:rPr>
          <w:b/>
        </w:rPr>
      </w:pPr>
      <w:r w:rsidRPr="00E239AE">
        <w:rPr>
          <w:b/>
        </w:rPr>
        <w:t>ADR</w:t>
      </w:r>
    </w:p>
    <w:p w14:paraId="5137C80E" w14:textId="77777777" w:rsidR="00B42B45" w:rsidRDefault="00B42B45" w:rsidP="009F2346">
      <w:pPr>
        <w:tabs>
          <w:tab w:val="clear" w:pos="2552"/>
          <w:tab w:val="left" w:pos="3686"/>
        </w:tabs>
        <w:spacing w:before="40"/>
      </w:pPr>
      <w:r>
        <w:t>Verpackungsgruppe</w:t>
      </w:r>
      <w:r w:rsidR="00E239AE">
        <w:tab/>
        <w:t>I</w:t>
      </w:r>
      <w:r>
        <w:t>I</w:t>
      </w:r>
    </w:p>
    <w:p w14:paraId="6402A03E" w14:textId="77777777" w:rsidR="00B42B45" w:rsidRDefault="00B42B45" w:rsidP="009F2346">
      <w:pPr>
        <w:tabs>
          <w:tab w:val="clear" w:pos="2552"/>
          <w:tab w:val="left" w:pos="3686"/>
        </w:tabs>
        <w:spacing w:before="40"/>
      </w:pPr>
      <w:r>
        <w:t>Klassifizierungscode</w:t>
      </w:r>
      <w:r w:rsidR="00E239AE">
        <w:tab/>
      </w:r>
      <w:r>
        <w:t>F1</w:t>
      </w:r>
    </w:p>
    <w:p w14:paraId="53CA5E96" w14:textId="77777777" w:rsidR="00B42B45" w:rsidRDefault="00B42B45" w:rsidP="009F2346">
      <w:pPr>
        <w:tabs>
          <w:tab w:val="clear" w:pos="2552"/>
          <w:tab w:val="left" w:pos="3686"/>
        </w:tabs>
        <w:spacing w:before="40"/>
      </w:pPr>
      <w:r>
        <w:t>Nummer zur Kennzeichnung der Gefahr</w:t>
      </w:r>
      <w:r w:rsidR="00E239AE">
        <w:tab/>
      </w:r>
      <w:r>
        <w:t>30</w:t>
      </w:r>
    </w:p>
    <w:p w14:paraId="159B8832" w14:textId="77777777" w:rsidR="00B42B45" w:rsidRDefault="00B42B45" w:rsidP="009F2346">
      <w:pPr>
        <w:tabs>
          <w:tab w:val="clear" w:pos="2552"/>
          <w:tab w:val="left" w:pos="3686"/>
        </w:tabs>
        <w:spacing w:before="40"/>
      </w:pPr>
      <w:r>
        <w:t>Gefahrzettel</w:t>
      </w:r>
      <w:r w:rsidR="00E239AE">
        <w:tab/>
      </w:r>
      <w:r>
        <w:t>3</w:t>
      </w:r>
    </w:p>
    <w:p w14:paraId="0AC4A8A1" w14:textId="77777777" w:rsidR="00B42B45" w:rsidRDefault="00B42B45" w:rsidP="009F2346">
      <w:pPr>
        <w:tabs>
          <w:tab w:val="clear" w:pos="2552"/>
          <w:tab w:val="clear" w:pos="5103"/>
          <w:tab w:val="left" w:pos="3686"/>
          <w:tab w:val="right" w:pos="9070"/>
        </w:tabs>
        <w:spacing w:before="40"/>
      </w:pPr>
      <w:r>
        <w:t>Tunnelbeschränkungscode</w:t>
      </w:r>
      <w:r w:rsidR="00E239AE">
        <w:tab/>
      </w:r>
      <w:r>
        <w:t>D/E</w:t>
      </w:r>
      <w:r w:rsidR="009F2346" w:rsidRPr="009F2346">
        <w:t xml:space="preserve"> </w:t>
      </w:r>
      <w:r w:rsidR="009F2346">
        <w:tab/>
      </w:r>
      <w:r w:rsidR="009F2346" w:rsidRPr="00433E41">
        <w:rPr>
          <w:i/>
        </w:rPr>
        <w:t>Fortsetzung nächste Seite</w:t>
      </w:r>
      <w:r w:rsidR="009F2346">
        <w:rPr>
          <w:i/>
        </w:rPr>
        <w:t>!</w:t>
      </w:r>
    </w:p>
    <w:p w14:paraId="3585E063" w14:textId="77777777" w:rsidR="00B42B45" w:rsidRPr="00E239AE" w:rsidRDefault="00B42B45" w:rsidP="00E239AE">
      <w:pPr>
        <w:tabs>
          <w:tab w:val="clear" w:pos="2552"/>
          <w:tab w:val="left" w:pos="3686"/>
        </w:tabs>
        <w:rPr>
          <w:b/>
        </w:rPr>
      </w:pPr>
      <w:r w:rsidRPr="00E239AE">
        <w:rPr>
          <w:b/>
        </w:rPr>
        <w:lastRenderedPageBreak/>
        <w:t>IMDG</w:t>
      </w:r>
    </w:p>
    <w:p w14:paraId="6BFDFCC5" w14:textId="77777777" w:rsidR="00B42B45" w:rsidRDefault="00B42B45" w:rsidP="009F2346">
      <w:pPr>
        <w:tabs>
          <w:tab w:val="clear" w:pos="2552"/>
          <w:tab w:val="left" w:pos="3686"/>
        </w:tabs>
        <w:spacing w:before="40"/>
      </w:pPr>
      <w:r>
        <w:t>Verpackungsgruppe</w:t>
      </w:r>
      <w:r w:rsidR="00E239AE">
        <w:tab/>
      </w:r>
      <w:r>
        <w:t>III</w:t>
      </w:r>
    </w:p>
    <w:p w14:paraId="09D7045C" w14:textId="77777777" w:rsidR="00B42B45" w:rsidRDefault="00B42B45" w:rsidP="009F2346">
      <w:pPr>
        <w:tabs>
          <w:tab w:val="clear" w:pos="2552"/>
          <w:tab w:val="left" w:pos="3686"/>
        </w:tabs>
        <w:spacing w:before="40"/>
      </w:pPr>
      <w:r>
        <w:t>Gefahrzettel</w:t>
      </w:r>
      <w:r w:rsidR="00E239AE">
        <w:tab/>
      </w:r>
      <w:r>
        <w:t>3</w:t>
      </w:r>
    </w:p>
    <w:p w14:paraId="18CEFB64" w14:textId="77777777" w:rsidR="00B42B45" w:rsidRDefault="00B42B45" w:rsidP="009F2346">
      <w:pPr>
        <w:tabs>
          <w:tab w:val="clear" w:pos="2552"/>
          <w:tab w:val="left" w:pos="3686"/>
        </w:tabs>
        <w:spacing w:before="40"/>
      </w:pPr>
      <w:r>
        <w:t>EmS Kode</w:t>
      </w:r>
      <w:r w:rsidR="00E239AE">
        <w:tab/>
      </w:r>
      <w:r>
        <w:t>F-E, S-D</w:t>
      </w:r>
    </w:p>
    <w:p w14:paraId="578EE71F" w14:textId="77777777" w:rsidR="00B42B45" w:rsidRPr="00E239AE" w:rsidRDefault="00B42B45" w:rsidP="00E239AE">
      <w:pPr>
        <w:tabs>
          <w:tab w:val="left" w:pos="3686"/>
        </w:tabs>
        <w:rPr>
          <w:b/>
        </w:rPr>
      </w:pPr>
      <w:r w:rsidRPr="00E239AE">
        <w:rPr>
          <w:b/>
        </w:rPr>
        <w:t>IATA</w:t>
      </w:r>
    </w:p>
    <w:p w14:paraId="20456828" w14:textId="77777777" w:rsidR="00E239AE" w:rsidRDefault="00B42B45" w:rsidP="009F2346">
      <w:pPr>
        <w:tabs>
          <w:tab w:val="clear" w:pos="2552"/>
          <w:tab w:val="left" w:pos="3686"/>
        </w:tabs>
        <w:spacing w:before="40"/>
      </w:pPr>
      <w:r>
        <w:t>Verpackungsgruppe</w:t>
      </w:r>
      <w:r w:rsidR="00E239AE">
        <w:tab/>
      </w:r>
      <w:r>
        <w:t>III</w:t>
      </w:r>
    </w:p>
    <w:p w14:paraId="21B97C7B" w14:textId="77777777" w:rsidR="00B42B45" w:rsidRDefault="00B42B45" w:rsidP="009F2346">
      <w:pPr>
        <w:tabs>
          <w:tab w:val="clear" w:pos="2552"/>
          <w:tab w:val="left" w:pos="3686"/>
        </w:tabs>
        <w:spacing w:before="40"/>
      </w:pPr>
      <w:r>
        <w:t>Gefahrzettel</w:t>
      </w:r>
      <w:r w:rsidR="00E239AE">
        <w:tab/>
      </w:r>
      <w:r>
        <w:t>3</w:t>
      </w:r>
    </w:p>
    <w:p w14:paraId="63E94C21" w14:textId="77777777" w:rsidR="00B42B45" w:rsidRDefault="00B42B45" w:rsidP="00B42B45">
      <w:pPr>
        <w:pStyle w:val="berschrift3"/>
      </w:pPr>
      <w:r>
        <w:t>14.5</w:t>
      </w:r>
      <w:r>
        <w:tab/>
        <w:t>Umweltgefahren</w:t>
      </w:r>
    </w:p>
    <w:p w14:paraId="081A78D7" w14:textId="77777777" w:rsidR="00B42B45" w:rsidRPr="00E239AE" w:rsidRDefault="00B42B45" w:rsidP="00B42B45">
      <w:pPr>
        <w:rPr>
          <w:b/>
        </w:rPr>
      </w:pPr>
      <w:r w:rsidRPr="00E239AE">
        <w:rPr>
          <w:b/>
        </w:rPr>
        <w:t>ADR</w:t>
      </w:r>
    </w:p>
    <w:p w14:paraId="7A9A8454" w14:textId="77777777" w:rsidR="00B42B45" w:rsidRDefault="00B42B45" w:rsidP="009F2346">
      <w:pPr>
        <w:tabs>
          <w:tab w:val="clear" w:pos="2552"/>
          <w:tab w:val="left" w:pos="3686"/>
        </w:tabs>
        <w:spacing w:before="40"/>
      </w:pPr>
      <w:r>
        <w:t>Umweltgefährdend</w:t>
      </w:r>
      <w:r w:rsidR="00E239AE">
        <w:tab/>
      </w:r>
      <w:r>
        <w:t>nein</w:t>
      </w:r>
    </w:p>
    <w:p w14:paraId="14D37B83" w14:textId="77777777" w:rsidR="00B42B45" w:rsidRPr="00E239AE" w:rsidRDefault="00B42B45" w:rsidP="00B42B45">
      <w:pPr>
        <w:rPr>
          <w:b/>
        </w:rPr>
      </w:pPr>
      <w:r w:rsidRPr="00E239AE">
        <w:rPr>
          <w:b/>
        </w:rPr>
        <w:t>IMDG</w:t>
      </w:r>
    </w:p>
    <w:p w14:paraId="103600C6" w14:textId="77777777" w:rsidR="00B42B45" w:rsidRDefault="00B42B45" w:rsidP="009F2346">
      <w:pPr>
        <w:tabs>
          <w:tab w:val="clear" w:pos="2552"/>
          <w:tab w:val="left" w:pos="3686"/>
        </w:tabs>
        <w:spacing w:before="40"/>
      </w:pPr>
      <w:r>
        <w:t>Meeresschadstoff</w:t>
      </w:r>
      <w:r w:rsidR="00E239AE">
        <w:tab/>
      </w:r>
      <w:r>
        <w:t>Nein</w:t>
      </w:r>
    </w:p>
    <w:p w14:paraId="02C8578B" w14:textId="77777777" w:rsidR="00B42B45" w:rsidRDefault="00B42B45" w:rsidP="00B42B45">
      <w:pPr>
        <w:pStyle w:val="berschrift3"/>
      </w:pPr>
      <w:r>
        <w:t>14.6</w:t>
      </w:r>
      <w:r>
        <w:tab/>
        <w:t>Besondere Vorsichtsmaßnahmen für den Verwender</w:t>
      </w:r>
    </w:p>
    <w:p w14:paraId="5AD31808" w14:textId="77777777" w:rsidR="00B42B45" w:rsidRDefault="00B42B45" w:rsidP="00E239AE">
      <w:pPr>
        <w:tabs>
          <w:tab w:val="clear" w:pos="2552"/>
          <w:tab w:val="left" w:pos="3686"/>
        </w:tabs>
      </w:pPr>
      <w:r>
        <w:t xml:space="preserve">Persönliche Schutzausrüstung </w:t>
      </w:r>
      <w:r w:rsidR="00E239AE">
        <w:tab/>
      </w:r>
      <w:r>
        <w:t>siehe Abschnitt 8</w:t>
      </w:r>
    </w:p>
    <w:p w14:paraId="6F4DCF03" w14:textId="77777777" w:rsidR="00596D91" w:rsidRDefault="00596D91" w:rsidP="00E239AE">
      <w:pPr>
        <w:tabs>
          <w:tab w:val="clear" w:pos="2552"/>
          <w:tab w:val="left" w:pos="3686"/>
        </w:tabs>
      </w:pPr>
    </w:p>
    <w:p w14:paraId="170B8A59" w14:textId="77777777" w:rsidR="00B42B45" w:rsidRDefault="00B42B45" w:rsidP="00B42B45">
      <w:pPr>
        <w:pStyle w:val="berschrift3"/>
        <w:ind w:left="567" w:hanging="567"/>
      </w:pPr>
      <w:r>
        <w:t>14.7</w:t>
      </w:r>
      <w:r>
        <w:tab/>
        <w:t>Massengutbeförderung gemäß Anhang II des MARPOL-Übereinkommens 73/78 und gemäß IBC-Code</w:t>
      </w:r>
    </w:p>
    <w:p w14:paraId="30C72D4F" w14:textId="77777777" w:rsidR="00B42B45" w:rsidRPr="003F4582" w:rsidRDefault="00B42B45" w:rsidP="00E239AE">
      <w:pPr>
        <w:ind w:left="567"/>
      </w:pPr>
      <w:r>
        <w:t>Auf Produkt im Lieferzustand nicht zutreffend.</w:t>
      </w:r>
    </w:p>
    <w:p w14:paraId="6421F348" w14:textId="77777777" w:rsidR="00B42B45" w:rsidRPr="003F4582" w:rsidRDefault="00B42B45" w:rsidP="00B42B45">
      <w:pPr>
        <w:pStyle w:val="berschrift2"/>
        <w:pBdr>
          <w:bottom w:val="single" w:sz="4" w:space="1" w:color="auto"/>
        </w:pBdr>
      </w:pPr>
      <w:r w:rsidRPr="003F4582">
        <w:t>15</w:t>
      </w:r>
      <w:r>
        <w:tab/>
        <w:t>Rechtsvorschriften</w:t>
      </w:r>
    </w:p>
    <w:p w14:paraId="057F0B38" w14:textId="77777777" w:rsidR="00985512" w:rsidRDefault="00B42B45" w:rsidP="00C2202E">
      <w:pPr>
        <w:pStyle w:val="berschrift3"/>
        <w:ind w:left="567" w:hanging="567"/>
      </w:pPr>
      <w:r>
        <w:t>15.1</w:t>
      </w:r>
      <w:r>
        <w:tab/>
      </w:r>
      <w:r w:rsidR="00985512">
        <w:t>Vorschriften zu Sicherheit, Gesundheits- und Umweltschutz/spezifische Rechtsvorschriften für den Stoff oder das Gemisch</w:t>
      </w:r>
    </w:p>
    <w:p w14:paraId="75DE12B2" w14:textId="77777777" w:rsidR="005B2336" w:rsidRPr="005B2336" w:rsidRDefault="005B2336" w:rsidP="005B2336">
      <w:pPr>
        <w:tabs>
          <w:tab w:val="clear" w:pos="5103"/>
          <w:tab w:val="right" w:pos="9070"/>
        </w:tabs>
        <w:ind w:left="567"/>
        <w:rPr>
          <w:sz w:val="20"/>
          <w:szCs w:val="20"/>
        </w:rPr>
      </w:pPr>
      <w:r w:rsidRPr="005B2336">
        <w:rPr>
          <w:sz w:val="20"/>
          <w:szCs w:val="20"/>
        </w:rPr>
        <w:t>REACH - Beschränkungen der Herstellung, des Inverkehrbrin</w:t>
      </w:r>
      <w:r w:rsidR="00C2202E" w:rsidRPr="005B2336">
        <w:rPr>
          <w:sz w:val="20"/>
          <w:szCs w:val="20"/>
        </w:rPr>
        <w:t>gens</w:t>
      </w:r>
      <w:r>
        <w:rPr>
          <w:sz w:val="20"/>
          <w:szCs w:val="20"/>
        </w:rPr>
        <w:br/>
      </w:r>
      <w:r w:rsidRPr="005B2336">
        <w:rPr>
          <w:sz w:val="20"/>
          <w:szCs w:val="20"/>
        </w:rPr>
        <w:t xml:space="preserve">und der Verwendung bestimmter gefährlicher Stoffe, </w:t>
      </w:r>
      <w:r>
        <w:rPr>
          <w:sz w:val="20"/>
          <w:szCs w:val="20"/>
        </w:rPr>
        <w:br/>
      </w:r>
      <w:r w:rsidRPr="005B2336">
        <w:rPr>
          <w:sz w:val="20"/>
          <w:szCs w:val="20"/>
        </w:rPr>
        <w:t xml:space="preserve">Zubereitungen und Erzeugnisse (Anhang XVII) </w:t>
      </w:r>
      <w:r>
        <w:rPr>
          <w:sz w:val="20"/>
          <w:szCs w:val="20"/>
        </w:rPr>
        <w:tab/>
      </w:r>
      <w:r w:rsidRPr="005B2336">
        <w:rPr>
          <w:sz w:val="20"/>
          <w:szCs w:val="20"/>
        </w:rPr>
        <w:t>Nicht anwendbar</w:t>
      </w:r>
      <w:r w:rsidR="00950F21">
        <w:rPr>
          <w:sz w:val="20"/>
          <w:szCs w:val="20"/>
        </w:rPr>
        <w:t>.</w:t>
      </w:r>
    </w:p>
    <w:p w14:paraId="63802F12" w14:textId="77777777" w:rsidR="005B2336" w:rsidRDefault="005B2336" w:rsidP="005B2336">
      <w:pPr>
        <w:tabs>
          <w:tab w:val="clear" w:pos="5103"/>
          <w:tab w:val="right" w:pos="9070"/>
        </w:tabs>
        <w:ind w:left="567"/>
        <w:rPr>
          <w:sz w:val="20"/>
          <w:szCs w:val="20"/>
        </w:rPr>
      </w:pPr>
      <w:r w:rsidRPr="005B2336">
        <w:rPr>
          <w:sz w:val="20"/>
          <w:szCs w:val="20"/>
        </w:rPr>
        <w:t xml:space="preserve">REACH - Liste der für eine Zulassung in Frage kommenden besonders </w:t>
      </w:r>
      <w:r>
        <w:rPr>
          <w:sz w:val="20"/>
          <w:szCs w:val="20"/>
        </w:rPr>
        <w:br/>
      </w:r>
      <w:r w:rsidRPr="005B2336">
        <w:rPr>
          <w:sz w:val="20"/>
          <w:szCs w:val="20"/>
        </w:rPr>
        <w:t>besorgniserregenden Stoffe (Artikel 59).</w:t>
      </w:r>
      <w:r>
        <w:rPr>
          <w:sz w:val="20"/>
          <w:szCs w:val="20"/>
        </w:rPr>
        <w:tab/>
      </w:r>
      <w:r w:rsidRPr="005B2336">
        <w:rPr>
          <w:sz w:val="20"/>
          <w:szCs w:val="20"/>
        </w:rPr>
        <w:t>Nicht anwendbar</w:t>
      </w:r>
      <w:r w:rsidR="00950F21">
        <w:rPr>
          <w:sz w:val="20"/>
          <w:szCs w:val="20"/>
        </w:rPr>
        <w:t>.</w:t>
      </w:r>
    </w:p>
    <w:p w14:paraId="479AC1D8" w14:textId="77777777" w:rsidR="00E239AE" w:rsidRDefault="005B2336" w:rsidP="005B2336">
      <w:pPr>
        <w:tabs>
          <w:tab w:val="clear" w:pos="5103"/>
          <w:tab w:val="right" w:pos="9070"/>
        </w:tabs>
        <w:ind w:left="567"/>
        <w:rPr>
          <w:sz w:val="20"/>
          <w:szCs w:val="20"/>
        </w:rPr>
      </w:pPr>
      <w:r w:rsidRPr="005B2336">
        <w:rPr>
          <w:sz w:val="20"/>
          <w:szCs w:val="20"/>
        </w:rPr>
        <w:t>REACH - Verzeichnis der zulassungspflichtigen Stoffe (An-hang XIV)</w:t>
      </w:r>
      <w:r>
        <w:rPr>
          <w:sz w:val="20"/>
          <w:szCs w:val="20"/>
        </w:rPr>
        <w:tab/>
      </w:r>
      <w:r w:rsidRPr="005B2336">
        <w:rPr>
          <w:sz w:val="20"/>
          <w:szCs w:val="20"/>
        </w:rPr>
        <w:t>Nicht anwendbar</w:t>
      </w:r>
      <w:r w:rsidR="00950F21">
        <w:rPr>
          <w:sz w:val="20"/>
          <w:szCs w:val="20"/>
        </w:rPr>
        <w:t>.</w:t>
      </w:r>
    </w:p>
    <w:p w14:paraId="170B626C" w14:textId="77777777" w:rsidR="005B2336" w:rsidRPr="00D37EA9" w:rsidRDefault="005B2336" w:rsidP="009A4352">
      <w:pPr>
        <w:tabs>
          <w:tab w:val="clear" w:pos="2552"/>
          <w:tab w:val="left" w:pos="3828"/>
        </w:tabs>
        <w:spacing w:before="120"/>
        <w:ind w:left="567"/>
      </w:pPr>
      <w:r w:rsidRPr="005B2336">
        <w:t xml:space="preserve">Wassergefährdungsklasse: </w:t>
      </w:r>
      <w:r>
        <w:tab/>
      </w:r>
      <w:r w:rsidRPr="005B2336">
        <w:t xml:space="preserve">WGK 2 (Selbsteinstufung): wassergefährdend. </w:t>
      </w:r>
    </w:p>
    <w:p w14:paraId="2ACB92BE" w14:textId="77777777" w:rsidR="009A4352" w:rsidRDefault="005B2336" w:rsidP="009A4352">
      <w:pPr>
        <w:tabs>
          <w:tab w:val="clear" w:pos="2552"/>
          <w:tab w:val="left" w:pos="3828"/>
        </w:tabs>
        <w:ind w:left="567"/>
        <w:rPr>
          <w:rFonts w:eastAsiaTheme="minorEastAsia"/>
          <w:lang w:eastAsia="de-AT"/>
        </w:rPr>
      </w:pPr>
      <w:r w:rsidRPr="005B2336">
        <w:rPr>
          <w:rFonts w:eastAsiaTheme="minorEastAsia"/>
          <w:lang w:eastAsia="de-AT"/>
        </w:rPr>
        <w:t>TA Luft</w:t>
      </w:r>
      <w:r>
        <w:rPr>
          <w:rFonts w:eastAsiaTheme="minorEastAsia"/>
          <w:lang w:eastAsia="de-AT"/>
        </w:rPr>
        <w:t>:</w:t>
      </w:r>
      <w:r>
        <w:rPr>
          <w:rFonts w:eastAsiaTheme="minorEastAsia"/>
          <w:lang w:eastAsia="de-AT"/>
        </w:rPr>
        <w:tab/>
        <w:t>Nicht anwendbar</w:t>
      </w:r>
      <w:r w:rsidR="00950F21">
        <w:rPr>
          <w:rFonts w:eastAsiaTheme="minorEastAsia"/>
          <w:lang w:eastAsia="de-AT"/>
        </w:rPr>
        <w:t>.</w:t>
      </w:r>
      <w:r w:rsidRPr="005B2336">
        <w:rPr>
          <w:rFonts w:eastAsiaTheme="minorEastAsia"/>
          <w:lang w:eastAsia="de-AT"/>
        </w:rPr>
        <w:t xml:space="preserve"> </w:t>
      </w:r>
    </w:p>
    <w:p w14:paraId="5EC93DC4" w14:textId="77777777" w:rsidR="009A4352" w:rsidRDefault="005B2336" w:rsidP="00D46E26">
      <w:pPr>
        <w:tabs>
          <w:tab w:val="clear" w:pos="2552"/>
          <w:tab w:val="left" w:pos="3828"/>
        </w:tabs>
        <w:ind w:left="567"/>
      </w:pPr>
      <w:r>
        <w:t>Flüchtige organische Verbindungen</w:t>
      </w:r>
      <w:r w:rsidR="009A4352">
        <w:tab/>
      </w:r>
      <w:r>
        <w:t>Richtlinie 1999/13/EG</w:t>
      </w:r>
      <w:r w:rsidR="009A4352" w:rsidRPr="009A4352">
        <w:t xml:space="preserve"> </w:t>
      </w:r>
      <w:r w:rsidR="009A4352">
        <w:t>Gehalt flüchtiger organischer</w:t>
      </w:r>
      <w:r w:rsidR="00D46E26">
        <w:br/>
      </w:r>
      <w:r w:rsidR="009A4352">
        <w:tab/>
      </w:r>
      <w:r>
        <w:t>Verbindungen (VOC)</w:t>
      </w:r>
      <w:r w:rsidR="009A4352">
        <w:t xml:space="preserve"> </w:t>
      </w:r>
      <w:r w:rsidR="009A4352" w:rsidRPr="009A4352">
        <w:t>68,</w:t>
      </w:r>
      <w:r w:rsidR="009A4352">
        <w:t>7</w:t>
      </w:r>
      <w:r>
        <w:t xml:space="preserve">%, </w:t>
      </w:r>
      <w:r w:rsidR="00C2202E">
        <w:t>595</w:t>
      </w:r>
      <w:r>
        <w:t xml:space="preserve"> g/l</w:t>
      </w:r>
      <w:r w:rsidR="009A4352">
        <w:t xml:space="preserve"> </w:t>
      </w:r>
    </w:p>
    <w:p w14:paraId="695371A0" w14:textId="77777777" w:rsidR="005B2336" w:rsidRDefault="009A4352" w:rsidP="009A4352">
      <w:pPr>
        <w:tabs>
          <w:tab w:val="clear" w:pos="2552"/>
          <w:tab w:val="clear" w:pos="5103"/>
          <w:tab w:val="left" w:pos="3828"/>
          <w:tab w:val="right" w:pos="9070"/>
        </w:tabs>
        <w:ind w:left="567"/>
      </w:pPr>
      <w:r>
        <w:tab/>
      </w:r>
      <w:r w:rsidR="005B2336">
        <w:t>Anmerkungen: VOC(flüchtige organische Verbindung)</w:t>
      </w:r>
      <w:r>
        <w:br/>
      </w:r>
      <w:r>
        <w:tab/>
      </w:r>
      <w:r w:rsidR="005B2336">
        <w:t>Gehalt abzüglich Wasser</w:t>
      </w:r>
      <w:r w:rsidR="00950F21">
        <w:t>.</w:t>
      </w:r>
    </w:p>
    <w:p w14:paraId="413AF6C5" w14:textId="77777777" w:rsidR="00C2202E" w:rsidRPr="00E239AE" w:rsidRDefault="006B5E1A" w:rsidP="009A4352">
      <w:pPr>
        <w:tabs>
          <w:tab w:val="clear" w:pos="2552"/>
          <w:tab w:val="clear" w:pos="5103"/>
          <w:tab w:val="left" w:pos="3828"/>
          <w:tab w:val="right" w:pos="9070"/>
        </w:tabs>
        <w:ind w:left="567"/>
      </w:pPr>
      <w:r>
        <w:t xml:space="preserve">GHS </w:t>
      </w:r>
      <w:r w:rsidR="00C2202E">
        <w:t>Kennzeichnung</w:t>
      </w:r>
      <w:r w:rsidR="00C2202E">
        <w:tab/>
      </w:r>
      <w:r w:rsidR="00C2202E" w:rsidRPr="00C2202E">
        <w:t xml:space="preserve">Nicht kennzeichnungspflichtig, </w:t>
      </w:r>
      <w:r w:rsidR="00C2202E">
        <w:t xml:space="preserve">unterliegt </w:t>
      </w:r>
      <w:r w:rsidR="00C2202E" w:rsidRPr="00C2202E">
        <w:t xml:space="preserve">dem </w:t>
      </w:r>
      <w:r w:rsidR="00C2202E">
        <w:br/>
      </w:r>
      <w:r w:rsidR="00C2202E">
        <w:tab/>
      </w:r>
      <w:r w:rsidR="00C2202E" w:rsidRPr="00C2202E">
        <w:t>Arzneimittelgesetz</w:t>
      </w:r>
      <w:r w:rsidR="00950F21">
        <w:t>.</w:t>
      </w:r>
      <w:r w:rsidR="00C2202E" w:rsidRPr="00C2202E">
        <w:t xml:space="preserve"> </w:t>
      </w:r>
    </w:p>
    <w:p w14:paraId="0E19AFC6" w14:textId="77777777" w:rsidR="005B2336" w:rsidRDefault="005B2336" w:rsidP="005B2336">
      <w:pPr>
        <w:pStyle w:val="berschrift3"/>
      </w:pPr>
      <w:r>
        <w:t>15.2</w:t>
      </w:r>
      <w:r>
        <w:tab/>
      </w:r>
      <w:r w:rsidRPr="00D37EA9">
        <w:t xml:space="preserve">Stoffsicherheitsbeurteilung: </w:t>
      </w:r>
    </w:p>
    <w:p w14:paraId="0A78E7FE" w14:textId="77777777" w:rsidR="005B2336" w:rsidRPr="00D37EA9" w:rsidRDefault="005B2336" w:rsidP="00C2202E">
      <w:pPr>
        <w:spacing w:before="120"/>
        <w:ind w:left="567"/>
      </w:pPr>
      <w:r w:rsidRPr="00D37EA9">
        <w:t>Eine Stoffsicherheitsbeurteilung wurde nicht durchgeführt.</w:t>
      </w:r>
    </w:p>
    <w:p w14:paraId="5B68C36E" w14:textId="77777777" w:rsidR="005B2336" w:rsidRPr="003F4582" w:rsidRDefault="005B2336" w:rsidP="005B2336">
      <w:pPr>
        <w:pStyle w:val="berschrift2"/>
        <w:pBdr>
          <w:bottom w:val="single" w:sz="4" w:space="1" w:color="auto"/>
        </w:pBdr>
      </w:pPr>
      <w:r w:rsidRPr="003F4582">
        <w:lastRenderedPageBreak/>
        <w:t>1</w:t>
      </w:r>
      <w:r>
        <w:t>6</w:t>
      </w:r>
      <w:r>
        <w:tab/>
        <w:t>Sonstige Angaben</w:t>
      </w:r>
    </w:p>
    <w:p w14:paraId="5D1E29BA" w14:textId="77777777" w:rsidR="00C2202E" w:rsidRDefault="003244A6" w:rsidP="003244A6">
      <w:pPr>
        <w:ind w:left="567"/>
      </w:pPr>
      <w:r w:rsidRPr="00E672EA">
        <w:rPr>
          <w:b/>
          <w:szCs w:val="22"/>
        </w:rPr>
        <w:t>* Daten gegenüber der Vorversion geändert</w:t>
      </w:r>
      <w:r>
        <w:rPr>
          <w:b/>
          <w:szCs w:val="22"/>
        </w:rPr>
        <w:tab/>
      </w:r>
      <w:r w:rsidR="00C2202E">
        <w:t>Erstausgabe</w:t>
      </w:r>
    </w:p>
    <w:p w14:paraId="6933AB72" w14:textId="77777777" w:rsidR="00950F21" w:rsidRDefault="00950F21" w:rsidP="00950F21">
      <w:pPr>
        <w:ind w:left="567"/>
      </w:pPr>
      <w:r>
        <w:t xml:space="preserve">Die Angaben in dieser Produktinformation entsprechen nach bestem Wissen unseren Erkenntnissen zum Zeitpunkt der Überarbeitung. Die Informationen sollen Ihnen Anhaltspunkte für den sicheren Umgang mit dem, in dieser Produktinformation genannten Produkt, bei Lagerung, Verarbeitung, Transport und Entsorgung geben. </w:t>
      </w:r>
    </w:p>
    <w:p w14:paraId="7E451D4F" w14:textId="77777777" w:rsidR="00591773" w:rsidRPr="003F4582" w:rsidRDefault="00950F21" w:rsidP="00950F21">
      <w:pPr>
        <w:ind w:left="567"/>
      </w:pPr>
      <w:r>
        <w:t>Die Angaben sind nicht auf andere Produkte übertragbar. Wenn das in dieser Produktinformation genannte Produkt mit anderen Materialien vermengt, vermischt oder verarbeitet wird, können die Angaben in dieser Produktinformation, soweit sich hieraus nicht ausdrücklich etwas anderes ergibt, nicht auf das so gefertigte neue Material übertragen werden.</w:t>
      </w:r>
    </w:p>
    <w:p w14:paraId="3C826B4B" w14:textId="77777777" w:rsidR="00591773" w:rsidRPr="003D2365" w:rsidRDefault="00591773" w:rsidP="003244A6">
      <w:pPr>
        <w:spacing w:before="120"/>
        <w:ind w:left="567"/>
        <w:rPr>
          <w:b/>
          <w:sz w:val="20"/>
          <w:szCs w:val="20"/>
          <w:lang w:val="en-GB"/>
        </w:rPr>
      </w:pPr>
      <w:r w:rsidRPr="003D2365">
        <w:rPr>
          <w:b/>
          <w:sz w:val="20"/>
          <w:szCs w:val="20"/>
          <w:lang w:val="en-GB"/>
        </w:rPr>
        <w:t>Abkürzungen und Akronyme:</w:t>
      </w:r>
    </w:p>
    <w:p w14:paraId="725ADF01" w14:textId="77777777" w:rsidR="00591773" w:rsidRPr="008F6AFB" w:rsidRDefault="00591773" w:rsidP="00F67DF4">
      <w:pPr>
        <w:spacing w:before="40"/>
        <w:ind w:left="567"/>
        <w:rPr>
          <w:sz w:val="20"/>
          <w:szCs w:val="20"/>
          <w:lang w:val="fr-FR"/>
        </w:rPr>
      </w:pPr>
      <w:r w:rsidRPr="008F6AFB">
        <w:rPr>
          <w:sz w:val="20"/>
          <w:szCs w:val="20"/>
          <w:lang w:val="fr-FR"/>
        </w:rPr>
        <w:t xml:space="preserve">ADR: Accord européen sur le transport des marchandises dangereuses par Route </w:t>
      </w:r>
      <w:r w:rsidRPr="008F6AFB">
        <w:rPr>
          <w:sz w:val="20"/>
          <w:szCs w:val="20"/>
          <w:lang w:val="en-US"/>
        </w:rPr>
        <w:t>(European Agreement concerning the International Carriage of Dangerous Goods by Road)</w:t>
      </w:r>
    </w:p>
    <w:p w14:paraId="232A2380" w14:textId="77777777" w:rsidR="00591773" w:rsidRPr="003D2365" w:rsidRDefault="00591773" w:rsidP="00F67DF4">
      <w:pPr>
        <w:spacing w:before="40"/>
        <w:ind w:left="567"/>
        <w:rPr>
          <w:sz w:val="20"/>
          <w:szCs w:val="20"/>
          <w:lang w:val="en-GB"/>
        </w:rPr>
      </w:pPr>
      <w:r w:rsidRPr="008F6AFB">
        <w:rPr>
          <w:sz w:val="20"/>
          <w:szCs w:val="20"/>
          <w:lang w:val="fr-FR"/>
        </w:rPr>
        <w:t>RID: Règlement international concernant le transport des marchandises dangereuses par chemin de fer</w:t>
      </w:r>
      <w:r w:rsidRPr="003D2365">
        <w:rPr>
          <w:sz w:val="20"/>
          <w:szCs w:val="20"/>
          <w:lang w:val="en-GB"/>
        </w:rPr>
        <w:t xml:space="preserve"> (Regulations Concerning the International Transport of Dangerous Goods by Rail)</w:t>
      </w:r>
    </w:p>
    <w:p w14:paraId="22A09BFA" w14:textId="77777777" w:rsidR="00591773" w:rsidRPr="003D2365" w:rsidRDefault="00591773" w:rsidP="00F67DF4">
      <w:pPr>
        <w:spacing w:before="40"/>
        <w:ind w:left="567"/>
        <w:rPr>
          <w:sz w:val="20"/>
          <w:szCs w:val="20"/>
          <w:lang w:val="en-GB"/>
        </w:rPr>
      </w:pPr>
      <w:r w:rsidRPr="003D2365">
        <w:rPr>
          <w:sz w:val="20"/>
          <w:szCs w:val="20"/>
          <w:lang w:val="en-GB"/>
        </w:rPr>
        <w:t>IMDG: International Maritime Code for Dangerous Goods</w:t>
      </w:r>
    </w:p>
    <w:p w14:paraId="068C7B53" w14:textId="77777777" w:rsidR="00591773" w:rsidRPr="003D2365" w:rsidRDefault="00591773" w:rsidP="00F67DF4">
      <w:pPr>
        <w:spacing w:before="40"/>
        <w:ind w:left="567"/>
        <w:rPr>
          <w:sz w:val="20"/>
          <w:szCs w:val="20"/>
          <w:lang w:val="en-GB"/>
        </w:rPr>
      </w:pPr>
      <w:r w:rsidRPr="003D2365">
        <w:rPr>
          <w:sz w:val="20"/>
          <w:szCs w:val="20"/>
          <w:lang w:val="en-GB"/>
        </w:rPr>
        <w:t>IATA: International Air Transport Association</w:t>
      </w:r>
    </w:p>
    <w:p w14:paraId="5663C6CA" w14:textId="77777777" w:rsidR="00591773" w:rsidRPr="003D2365" w:rsidRDefault="00591773" w:rsidP="00F67DF4">
      <w:pPr>
        <w:spacing w:before="40"/>
        <w:ind w:left="567"/>
        <w:rPr>
          <w:sz w:val="20"/>
          <w:szCs w:val="20"/>
          <w:lang w:val="en-GB"/>
        </w:rPr>
      </w:pPr>
      <w:r w:rsidRPr="003D2365">
        <w:rPr>
          <w:sz w:val="20"/>
          <w:szCs w:val="20"/>
          <w:lang w:val="en-GB"/>
        </w:rPr>
        <w:t>GHS: Globally Harmonized System of Classification and Labelling of Chemicals</w:t>
      </w:r>
    </w:p>
    <w:p w14:paraId="4CCE1098" w14:textId="77777777" w:rsidR="00591773" w:rsidRPr="003D2365" w:rsidRDefault="00591773" w:rsidP="00F67DF4">
      <w:pPr>
        <w:spacing w:before="40"/>
        <w:ind w:left="567"/>
        <w:rPr>
          <w:sz w:val="20"/>
          <w:szCs w:val="20"/>
          <w:lang w:val="en-GB"/>
        </w:rPr>
      </w:pPr>
      <w:r w:rsidRPr="003D2365">
        <w:rPr>
          <w:sz w:val="20"/>
          <w:szCs w:val="20"/>
          <w:lang w:val="en-GB"/>
        </w:rPr>
        <w:t>CAS: Chemical Abstracts Service (division of the American Chemical Society)</w:t>
      </w:r>
    </w:p>
    <w:p w14:paraId="185F6F90" w14:textId="77777777" w:rsidR="00591773" w:rsidRPr="003D2365" w:rsidRDefault="00591773" w:rsidP="00F67DF4">
      <w:pPr>
        <w:spacing w:before="40"/>
        <w:ind w:left="567"/>
        <w:rPr>
          <w:sz w:val="20"/>
          <w:szCs w:val="20"/>
        </w:rPr>
      </w:pPr>
      <w:r w:rsidRPr="003D2365">
        <w:rPr>
          <w:sz w:val="20"/>
          <w:szCs w:val="20"/>
        </w:rPr>
        <w:t>LC50: Letale Konzentration, 50 %</w:t>
      </w:r>
    </w:p>
    <w:p w14:paraId="2047A0B6" w14:textId="77777777" w:rsidR="00D37EA9" w:rsidRPr="003D2365" w:rsidRDefault="00591773" w:rsidP="00F67DF4">
      <w:pPr>
        <w:spacing w:before="40"/>
        <w:ind w:left="567"/>
        <w:rPr>
          <w:sz w:val="20"/>
          <w:szCs w:val="20"/>
        </w:rPr>
      </w:pPr>
      <w:r w:rsidRPr="003D2365">
        <w:rPr>
          <w:sz w:val="20"/>
          <w:szCs w:val="20"/>
        </w:rPr>
        <w:t>LD50: Letale Dosis, 50 %</w:t>
      </w:r>
      <w:r w:rsidR="00F67DF4">
        <w:rPr>
          <w:sz w:val="20"/>
          <w:szCs w:val="20"/>
        </w:rPr>
        <w:t xml:space="preserve"> </w:t>
      </w:r>
    </w:p>
    <w:sectPr w:rsidR="00D37EA9" w:rsidRPr="003D2365" w:rsidSect="00DD0324">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F356" w14:textId="77777777" w:rsidR="00E12404" w:rsidRDefault="00E12404" w:rsidP="0053415C">
      <w:pPr>
        <w:spacing w:before="0"/>
      </w:pPr>
      <w:r>
        <w:separator/>
      </w:r>
    </w:p>
  </w:endnote>
  <w:endnote w:type="continuationSeparator" w:id="0">
    <w:p w14:paraId="2E2A3123" w14:textId="77777777" w:rsidR="00E12404" w:rsidRDefault="00E12404" w:rsidP="005341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A7E0" w14:textId="77777777" w:rsidR="00D614BD" w:rsidRDefault="00D614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E216" w14:textId="77777777" w:rsidR="009A4352" w:rsidRPr="004876C6" w:rsidRDefault="009A4352" w:rsidP="004876C6">
    <w:pPr>
      <w:tabs>
        <w:tab w:val="center" w:pos="4536"/>
        <w:tab w:val="right" w:pos="9072"/>
      </w:tabs>
      <w:jc w:val="right"/>
    </w:pPr>
    <w:r w:rsidRPr="004876C6">
      <w:rPr>
        <w:lang w:val="de-DE"/>
      </w:rPr>
      <w:t xml:space="preserve">Seite </w:t>
    </w:r>
    <w:r w:rsidRPr="004876C6">
      <w:fldChar w:fldCharType="begin"/>
    </w:r>
    <w:r w:rsidRPr="004876C6">
      <w:instrText xml:space="preserve"> PAGE </w:instrText>
    </w:r>
    <w:r w:rsidRPr="004876C6">
      <w:fldChar w:fldCharType="separate"/>
    </w:r>
    <w:r w:rsidR="00D33813">
      <w:rPr>
        <w:noProof/>
      </w:rPr>
      <w:t>2</w:t>
    </w:r>
    <w:r w:rsidRPr="004876C6">
      <w:fldChar w:fldCharType="end"/>
    </w:r>
    <w:r w:rsidRPr="004876C6">
      <w:t xml:space="preserve"> von </w:t>
    </w:r>
    <w:r w:rsidR="00FF33B8">
      <w:fldChar w:fldCharType="begin"/>
    </w:r>
    <w:r w:rsidR="00FF33B8">
      <w:instrText xml:space="preserve"> NUMPAGES </w:instrText>
    </w:r>
    <w:r w:rsidR="00FF33B8">
      <w:fldChar w:fldCharType="separate"/>
    </w:r>
    <w:r w:rsidR="00D33813">
      <w:rPr>
        <w:noProof/>
      </w:rPr>
      <w:t>11</w:t>
    </w:r>
    <w:r w:rsidR="00FF33B8">
      <w:rPr>
        <w:noProof/>
      </w:rPr>
      <w:fldChar w:fldCharType="end"/>
    </w:r>
  </w:p>
  <w:p w14:paraId="53A53E55" w14:textId="77777777" w:rsidR="009A4352" w:rsidRDefault="009A43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4B36" w14:textId="77777777" w:rsidR="00D614BD" w:rsidRDefault="00D614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C4617" w14:textId="77777777" w:rsidR="00E12404" w:rsidRDefault="00E12404" w:rsidP="0053415C">
      <w:pPr>
        <w:spacing w:before="0"/>
      </w:pPr>
      <w:r>
        <w:separator/>
      </w:r>
    </w:p>
  </w:footnote>
  <w:footnote w:type="continuationSeparator" w:id="0">
    <w:p w14:paraId="48FB5C08" w14:textId="77777777" w:rsidR="00E12404" w:rsidRDefault="00E12404" w:rsidP="005341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8A85" w14:textId="77777777" w:rsidR="00D614BD" w:rsidRDefault="00D614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06F8" w14:textId="77777777" w:rsidR="009A4352" w:rsidRPr="00DD0324" w:rsidRDefault="009A4352" w:rsidP="00DD0324">
    <w:pPr>
      <w:pStyle w:val="Kopfzeile"/>
      <w:tabs>
        <w:tab w:val="clear" w:pos="4536"/>
        <w:tab w:val="left" w:pos="3969"/>
      </w:tabs>
      <w:spacing w:before="120"/>
      <w:rPr>
        <w:sz w:val="28"/>
        <w:szCs w:val="28"/>
      </w:rPr>
    </w:pPr>
    <w:r>
      <w:rPr>
        <w:noProof/>
        <w:sz w:val="28"/>
        <w:szCs w:val="28"/>
        <w:lang w:val="de-DE"/>
      </w:rPr>
      <mc:AlternateContent>
        <mc:Choice Requires="wps">
          <w:drawing>
            <wp:anchor distT="0" distB="0" distL="114300" distR="114300" simplePos="0" relativeHeight="251659264" behindDoc="0" locked="0" layoutInCell="1" allowOverlap="1" wp14:anchorId="5F77A27D" wp14:editId="0BA18D4D">
              <wp:simplePos x="0" y="0"/>
              <wp:positionH relativeFrom="column">
                <wp:posOffset>-204470</wp:posOffset>
              </wp:positionH>
              <wp:positionV relativeFrom="paragraph">
                <wp:posOffset>-78105</wp:posOffset>
              </wp:positionV>
              <wp:extent cx="2438400" cy="619125"/>
              <wp:effectExtent l="0" t="0" r="0" b="9525"/>
              <wp:wrapNone/>
              <wp:docPr id="13" name="Textfeld 13"/>
              <wp:cNvGraphicFramePr/>
              <a:graphic xmlns:a="http://schemas.openxmlformats.org/drawingml/2006/main">
                <a:graphicData uri="http://schemas.microsoft.com/office/word/2010/wordprocessingShape">
                  <wps:wsp>
                    <wps:cNvSpPr txBox="1"/>
                    <wps:spPr>
                      <a:xfrm>
                        <a:off x="0" y="0"/>
                        <a:ext cx="24384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6810" w14:textId="77777777" w:rsidR="009A4352" w:rsidRDefault="009A4352">
                          <w:r>
                            <w:rPr>
                              <w:noProof/>
                              <w:lang w:val="de-DE"/>
                            </w:rPr>
                            <w:drawing>
                              <wp:inline distT="0" distB="0" distL="0" distR="0" wp14:anchorId="7CD43CE9" wp14:editId="7531C0BC">
                                <wp:extent cx="2249170" cy="430692"/>
                                <wp:effectExtent l="0" t="0" r="0" b="762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9170" cy="4306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7A27D" id="_x0000_t202" coordsize="21600,21600" o:spt="202" path="m,l,21600r21600,l21600,xe">
              <v:stroke joinstyle="miter"/>
              <v:path gradientshapeok="t" o:connecttype="rect"/>
            </v:shapetype>
            <v:shape id="Textfeld 13" o:spid="_x0000_s1026" type="#_x0000_t202" style="position:absolute;margin-left:-16.1pt;margin-top:-6.15pt;width:192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ViwIAAIw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" fillcolor="white [3201]" stroked="f" strokeweight=".5pt">
              <v:textbox>
                <w:txbxContent>
                  <w:p w14:paraId="4FB66810" w14:textId="77777777" w:rsidR="009A4352" w:rsidRDefault="009A4352">
                    <w:r>
                      <w:rPr>
                        <w:noProof/>
                        <w:lang w:val="de-DE"/>
                      </w:rPr>
                      <w:drawing>
                        <wp:inline distT="0" distB="0" distL="0" distR="0" wp14:anchorId="7CD43CE9" wp14:editId="7531C0BC">
                          <wp:extent cx="2249170" cy="430692"/>
                          <wp:effectExtent l="0" t="0" r="0" b="762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9170" cy="430692"/>
                                  </a:xfrm>
                                  <a:prstGeom prst="rect">
                                    <a:avLst/>
                                  </a:prstGeom>
                                </pic:spPr>
                              </pic:pic>
                            </a:graphicData>
                          </a:graphic>
                        </wp:inline>
                      </w:drawing>
                    </w:r>
                  </w:p>
                </w:txbxContent>
              </v:textbox>
            </v:shape>
          </w:pict>
        </mc:Fallback>
      </mc:AlternateContent>
    </w:r>
    <w:r>
      <w:rPr>
        <w:sz w:val="28"/>
        <w:szCs w:val="28"/>
      </w:rPr>
      <w:tab/>
    </w:r>
    <w:r w:rsidRPr="00DD0324">
      <w:rPr>
        <w:sz w:val="28"/>
        <w:szCs w:val="28"/>
      </w:rPr>
      <w:t>Produktinformation</w:t>
    </w:r>
  </w:p>
  <w:p w14:paraId="24852B0B" w14:textId="77777777" w:rsidR="009A4352" w:rsidRDefault="009A4352" w:rsidP="00DD0324">
    <w:pPr>
      <w:pStyle w:val="Kopfzeile"/>
      <w:tabs>
        <w:tab w:val="clear" w:pos="4536"/>
        <w:tab w:val="left" w:pos="3969"/>
      </w:tabs>
    </w:pPr>
    <w:r>
      <w:tab/>
      <w:t>in Anlehnung an die Verordnung (EG) Nr. 1907/2006</w:t>
    </w:r>
  </w:p>
  <w:p w14:paraId="23D0FB65" w14:textId="77777777" w:rsidR="009A4352" w:rsidRPr="005B32B3" w:rsidRDefault="009A4352" w:rsidP="00DD0324">
    <w:pPr>
      <w:pStyle w:val="Kopfzeile"/>
      <w:tabs>
        <w:tab w:val="clear" w:pos="4536"/>
        <w:tab w:val="left" w:pos="3969"/>
      </w:tabs>
      <w:spacing w:before="120"/>
      <w:rPr>
        <w:sz w:val="36"/>
        <w:szCs w:val="36"/>
      </w:rPr>
    </w:pPr>
    <w:r w:rsidRPr="005B32B3">
      <w:rPr>
        <w:sz w:val="36"/>
        <w:szCs w:val="36"/>
      </w:rPr>
      <w:t xml:space="preserve">Isozid®-H </w:t>
    </w:r>
    <w:r w:rsidR="008C45AD">
      <w:rPr>
        <w:sz w:val="36"/>
        <w:szCs w:val="36"/>
      </w:rPr>
      <w:t>gefärbt</w:t>
    </w:r>
    <w:r w:rsidRPr="005B32B3">
      <w:rPr>
        <w:sz w:val="36"/>
        <w:szCs w:val="36"/>
      </w:rPr>
      <w:t xml:space="preserve"> - alkoholische Lösung zur Hautdesinfektion</w:t>
    </w:r>
  </w:p>
  <w:p w14:paraId="23492696" w14:textId="77777777" w:rsidR="009A4352" w:rsidRPr="004876C6" w:rsidRDefault="009A4352" w:rsidP="004876C6">
    <w:pPr>
      <w:pBdr>
        <w:top w:val="single" w:sz="4" w:space="1" w:color="auto"/>
      </w:pBdr>
      <w:tabs>
        <w:tab w:val="clear" w:pos="5103"/>
        <w:tab w:val="center" w:pos="4536"/>
        <w:tab w:val="right" w:pos="9072"/>
      </w:tabs>
      <w:rPr>
        <w:szCs w:val="22"/>
      </w:rPr>
    </w:pPr>
    <w:r w:rsidRPr="004876C6">
      <w:rPr>
        <w:spacing w:val="-2"/>
        <w:szCs w:val="22"/>
      </w:rPr>
      <w:t>Version 1.1</w:t>
    </w:r>
    <w:r w:rsidRPr="004876C6">
      <w:rPr>
        <w:spacing w:val="-2"/>
        <w:szCs w:val="22"/>
      </w:rPr>
      <w:tab/>
      <w:t>überarbeitet am:</w:t>
    </w:r>
    <w:r w:rsidRPr="004876C6">
      <w:rPr>
        <w:spacing w:val="-2"/>
        <w:szCs w:val="22"/>
      </w:rPr>
      <w:tab/>
    </w:r>
    <w:r w:rsidR="008C45AD">
      <w:rPr>
        <w:spacing w:val="-2"/>
        <w:szCs w:val="22"/>
      </w:rPr>
      <w:t xml:space="preserve"> </w:t>
    </w:r>
    <w:r w:rsidR="00D614BD">
      <w:rPr>
        <w:spacing w:val="-2"/>
        <w:szCs w:val="22"/>
      </w:rPr>
      <w:t>0</w:t>
    </w:r>
    <w:r w:rsidR="008C45AD" w:rsidRPr="008C45AD">
      <w:rPr>
        <w:spacing w:val="-2"/>
        <w:szCs w:val="22"/>
      </w:rPr>
      <w:t>7.0</w:t>
    </w:r>
    <w:r w:rsidR="00D614BD">
      <w:rPr>
        <w:spacing w:val="-2"/>
        <w:szCs w:val="22"/>
      </w:rPr>
      <w:t>7</w:t>
    </w:r>
    <w:r w:rsidR="008C45AD" w:rsidRPr="008C45AD">
      <w:rPr>
        <w:spacing w:val="-2"/>
        <w:szCs w:val="22"/>
      </w:rPr>
      <w:t>.2015</w:t>
    </w:r>
    <w:r w:rsidR="008C45AD">
      <w:rPr>
        <w:spacing w:val="-2"/>
        <w:szCs w:val="22"/>
      </w:rPr>
      <w:tab/>
    </w:r>
    <w:r w:rsidRPr="004876C6">
      <w:rPr>
        <w:szCs w:val="22"/>
      </w:rPr>
      <w:t xml:space="preserve">Druckdatum: </w:t>
    </w:r>
    <w:r w:rsidRPr="004876C6">
      <w:rPr>
        <w:szCs w:val="22"/>
      </w:rPr>
      <w:fldChar w:fldCharType="begin"/>
    </w:r>
    <w:r w:rsidRPr="004876C6">
      <w:rPr>
        <w:szCs w:val="22"/>
      </w:rPr>
      <w:instrText xml:space="preserve"> TIME \@ "dd.MM.yyyy" </w:instrText>
    </w:r>
    <w:r w:rsidRPr="004876C6">
      <w:rPr>
        <w:szCs w:val="22"/>
      </w:rPr>
      <w:fldChar w:fldCharType="separate"/>
    </w:r>
    <w:r w:rsidR="00FF33B8">
      <w:rPr>
        <w:noProof/>
        <w:szCs w:val="22"/>
      </w:rPr>
      <w:t>04.03.2021</w:t>
    </w:r>
    <w:r w:rsidRPr="004876C6">
      <w:rPr>
        <w:szCs w:val="22"/>
      </w:rPr>
      <w:fldChar w:fldCharType="end"/>
    </w:r>
  </w:p>
  <w:p w14:paraId="485A1A9D" w14:textId="77777777" w:rsidR="009A4352" w:rsidRDefault="009A43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A64D" w14:textId="77777777" w:rsidR="00D614BD" w:rsidRDefault="00D614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8B0"/>
    <w:multiLevelType w:val="hybridMultilevel"/>
    <w:tmpl w:val="FF006C42"/>
    <w:lvl w:ilvl="0" w:tplc="0E682CF4">
      <w:start w:val="20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Full" w:cryptAlgorithmClass="hash" w:cryptAlgorithmType="typeAny" w:cryptAlgorithmSid="4" w:cryptSpinCount="100000" w:hash="CQwsfH3kepsJZtztgTiMbWzv6Bw=" w:salt="7PuHqVSRUZCh41myXbCLP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81"/>
    <w:rsid w:val="00000118"/>
    <w:rsid w:val="00007A78"/>
    <w:rsid w:val="000100FA"/>
    <w:rsid w:val="00020248"/>
    <w:rsid w:val="0003201D"/>
    <w:rsid w:val="000350B0"/>
    <w:rsid w:val="00036863"/>
    <w:rsid w:val="000407F8"/>
    <w:rsid w:val="00054B0D"/>
    <w:rsid w:val="00055F8F"/>
    <w:rsid w:val="00072C4E"/>
    <w:rsid w:val="000766F2"/>
    <w:rsid w:val="000821E7"/>
    <w:rsid w:val="0008393C"/>
    <w:rsid w:val="000841E0"/>
    <w:rsid w:val="00094F9D"/>
    <w:rsid w:val="000A28CF"/>
    <w:rsid w:val="000A59B6"/>
    <w:rsid w:val="000D470C"/>
    <w:rsid w:val="000E690E"/>
    <w:rsid w:val="001020D3"/>
    <w:rsid w:val="00106A54"/>
    <w:rsid w:val="00114963"/>
    <w:rsid w:val="00117646"/>
    <w:rsid w:val="00143C14"/>
    <w:rsid w:val="00144C6C"/>
    <w:rsid w:val="00147FD3"/>
    <w:rsid w:val="00162E1B"/>
    <w:rsid w:val="00173020"/>
    <w:rsid w:val="00194656"/>
    <w:rsid w:val="001A7E4C"/>
    <w:rsid w:val="001C70DE"/>
    <w:rsid w:val="001D62D8"/>
    <w:rsid w:val="001D672F"/>
    <w:rsid w:val="001F3998"/>
    <w:rsid w:val="00204285"/>
    <w:rsid w:val="002054AA"/>
    <w:rsid w:val="00217718"/>
    <w:rsid w:val="002323F1"/>
    <w:rsid w:val="00232B0C"/>
    <w:rsid w:val="0025393F"/>
    <w:rsid w:val="00264365"/>
    <w:rsid w:val="00275A6F"/>
    <w:rsid w:val="00280A6E"/>
    <w:rsid w:val="002A5A5A"/>
    <w:rsid w:val="002B6174"/>
    <w:rsid w:val="002C18C7"/>
    <w:rsid w:val="002D0518"/>
    <w:rsid w:val="002F3484"/>
    <w:rsid w:val="002F38D6"/>
    <w:rsid w:val="002F477D"/>
    <w:rsid w:val="003206F1"/>
    <w:rsid w:val="003244A6"/>
    <w:rsid w:val="00356D15"/>
    <w:rsid w:val="00377645"/>
    <w:rsid w:val="003A0460"/>
    <w:rsid w:val="003B3130"/>
    <w:rsid w:val="003B62D5"/>
    <w:rsid w:val="003B67EC"/>
    <w:rsid w:val="003B7DD0"/>
    <w:rsid w:val="003D2365"/>
    <w:rsid w:val="003D636C"/>
    <w:rsid w:val="003F0572"/>
    <w:rsid w:val="003F5589"/>
    <w:rsid w:val="004010AC"/>
    <w:rsid w:val="00403A71"/>
    <w:rsid w:val="00404BB3"/>
    <w:rsid w:val="00413F69"/>
    <w:rsid w:val="00415994"/>
    <w:rsid w:val="00423CAF"/>
    <w:rsid w:val="00433E41"/>
    <w:rsid w:val="00435AC1"/>
    <w:rsid w:val="00443BA5"/>
    <w:rsid w:val="004461F7"/>
    <w:rsid w:val="00471F2E"/>
    <w:rsid w:val="004726DA"/>
    <w:rsid w:val="0047274C"/>
    <w:rsid w:val="00482813"/>
    <w:rsid w:val="004876C6"/>
    <w:rsid w:val="0049762C"/>
    <w:rsid w:val="004A5B12"/>
    <w:rsid w:val="004A5E97"/>
    <w:rsid w:val="004C3328"/>
    <w:rsid w:val="004E3301"/>
    <w:rsid w:val="00506483"/>
    <w:rsid w:val="0051632C"/>
    <w:rsid w:val="00532206"/>
    <w:rsid w:val="00533863"/>
    <w:rsid w:val="0053415C"/>
    <w:rsid w:val="00546AAE"/>
    <w:rsid w:val="005735F8"/>
    <w:rsid w:val="00574960"/>
    <w:rsid w:val="005762EA"/>
    <w:rsid w:val="00591773"/>
    <w:rsid w:val="00596D91"/>
    <w:rsid w:val="005A0DB6"/>
    <w:rsid w:val="005B2336"/>
    <w:rsid w:val="005B32B3"/>
    <w:rsid w:val="005C0771"/>
    <w:rsid w:val="005E1154"/>
    <w:rsid w:val="005F5A9A"/>
    <w:rsid w:val="006000DA"/>
    <w:rsid w:val="006036C7"/>
    <w:rsid w:val="0061593E"/>
    <w:rsid w:val="006209D3"/>
    <w:rsid w:val="00626F4A"/>
    <w:rsid w:val="00634B08"/>
    <w:rsid w:val="00646477"/>
    <w:rsid w:val="00647678"/>
    <w:rsid w:val="00653351"/>
    <w:rsid w:val="006657BC"/>
    <w:rsid w:val="00683A1E"/>
    <w:rsid w:val="00697EE8"/>
    <w:rsid w:val="006A2206"/>
    <w:rsid w:val="006B5E1A"/>
    <w:rsid w:val="006C1774"/>
    <w:rsid w:val="006D7283"/>
    <w:rsid w:val="006F3912"/>
    <w:rsid w:val="006F7234"/>
    <w:rsid w:val="007003DF"/>
    <w:rsid w:val="00711E07"/>
    <w:rsid w:val="00712F2A"/>
    <w:rsid w:val="0071536B"/>
    <w:rsid w:val="00716108"/>
    <w:rsid w:val="007238AB"/>
    <w:rsid w:val="007272A2"/>
    <w:rsid w:val="0076196D"/>
    <w:rsid w:val="0077034E"/>
    <w:rsid w:val="00770E9E"/>
    <w:rsid w:val="00773B30"/>
    <w:rsid w:val="00775645"/>
    <w:rsid w:val="0078385F"/>
    <w:rsid w:val="007936DF"/>
    <w:rsid w:val="007A01CB"/>
    <w:rsid w:val="007A1283"/>
    <w:rsid w:val="007A5FB7"/>
    <w:rsid w:val="007B61B4"/>
    <w:rsid w:val="007C18D4"/>
    <w:rsid w:val="007E35EE"/>
    <w:rsid w:val="007E3AEE"/>
    <w:rsid w:val="00806595"/>
    <w:rsid w:val="00812947"/>
    <w:rsid w:val="008174E9"/>
    <w:rsid w:val="0085478C"/>
    <w:rsid w:val="00861F26"/>
    <w:rsid w:val="0088391A"/>
    <w:rsid w:val="008875E7"/>
    <w:rsid w:val="0089086A"/>
    <w:rsid w:val="00893967"/>
    <w:rsid w:val="00895BCD"/>
    <w:rsid w:val="008A306C"/>
    <w:rsid w:val="008A49AE"/>
    <w:rsid w:val="008B1392"/>
    <w:rsid w:val="008B2FBD"/>
    <w:rsid w:val="008B3A25"/>
    <w:rsid w:val="008C267F"/>
    <w:rsid w:val="008C45AD"/>
    <w:rsid w:val="008E31BB"/>
    <w:rsid w:val="008F1622"/>
    <w:rsid w:val="008F6AFB"/>
    <w:rsid w:val="0092735D"/>
    <w:rsid w:val="009440CB"/>
    <w:rsid w:val="00950F21"/>
    <w:rsid w:val="00960277"/>
    <w:rsid w:val="00966BE2"/>
    <w:rsid w:val="00967EEE"/>
    <w:rsid w:val="00984A3F"/>
    <w:rsid w:val="00985512"/>
    <w:rsid w:val="009A2DDA"/>
    <w:rsid w:val="009A4352"/>
    <w:rsid w:val="009B0B0D"/>
    <w:rsid w:val="009B2DCE"/>
    <w:rsid w:val="009D1421"/>
    <w:rsid w:val="009E6E50"/>
    <w:rsid w:val="009F059E"/>
    <w:rsid w:val="009F2346"/>
    <w:rsid w:val="00A10700"/>
    <w:rsid w:val="00A35346"/>
    <w:rsid w:val="00A776E5"/>
    <w:rsid w:val="00A81663"/>
    <w:rsid w:val="00A84C31"/>
    <w:rsid w:val="00A93C50"/>
    <w:rsid w:val="00AA335C"/>
    <w:rsid w:val="00AA5E89"/>
    <w:rsid w:val="00AB413B"/>
    <w:rsid w:val="00AC2536"/>
    <w:rsid w:val="00AC2A91"/>
    <w:rsid w:val="00AD140A"/>
    <w:rsid w:val="00AD51AB"/>
    <w:rsid w:val="00AE56F6"/>
    <w:rsid w:val="00B038C5"/>
    <w:rsid w:val="00B17AB1"/>
    <w:rsid w:val="00B42B45"/>
    <w:rsid w:val="00B465E4"/>
    <w:rsid w:val="00B475B5"/>
    <w:rsid w:val="00B552C1"/>
    <w:rsid w:val="00B6020D"/>
    <w:rsid w:val="00B60AEA"/>
    <w:rsid w:val="00B630C2"/>
    <w:rsid w:val="00B706B7"/>
    <w:rsid w:val="00B7078C"/>
    <w:rsid w:val="00B8170D"/>
    <w:rsid w:val="00B82C20"/>
    <w:rsid w:val="00BA6CF7"/>
    <w:rsid w:val="00BB7577"/>
    <w:rsid w:val="00BD3FAF"/>
    <w:rsid w:val="00BE0137"/>
    <w:rsid w:val="00BF0171"/>
    <w:rsid w:val="00C04316"/>
    <w:rsid w:val="00C04F38"/>
    <w:rsid w:val="00C06E4D"/>
    <w:rsid w:val="00C12812"/>
    <w:rsid w:val="00C20172"/>
    <w:rsid w:val="00C2202E"/>
    <w:rsid w:val="00C32930"/>
    <w:rsid w:val="00C32E38"/>
    <w:rsid w:val="00C50D43"/>
    <w:rsid w:val="00C536C8"/>
    <w:rsid w:val="00C61761"/>
    <w:rsid w:val="00C618FC"/>
    <w:rsid w:val="00C661F9"/>
    <w:rsid w:val="00C66A5C"/>
    <w:rsid w:val="00C80E0A"/>
    <w:rsid w:val="00C82873"/>
    <w:rsid w:val="00C8629F"/>
    <w:rsid w:val="00C91A64"/>
    <w:rsid w:val="00CA0835"/>
    <w:rsid w:val="00CA1569"/>
    <w:rsid w:val="00CA47FE"/>
    <w:rsid w:val="00CB0E39"/>
    <w:rsid w:val="00CB3D03"/>
    <w:rsid w:val="00CB524D"/>
    <w:rsid w:val="00CB55C2"/>
    <w:rsid w:val="00CB7375"/>
    <w:rsid w:val="00CE7288"/>
    <w:rsid w:val="00D03860"/>
    <w:rsid w:val="00D33813"/>
    <w:rsid w:val="00D37EA9"/>
    <w:rsid w:val="00D46E26"/>
    <w:rsid w:val="00D52D41"/>
    <w:rsid w:val="00D56039"/>
    <w:rsid w:val="00D614BD"/>
    <w:rsid w:val="00D642EC"/>
    <w:rsid w:val="00D72259"/>
    <w:rsid w:val="00D75C8E"/>
    <w:rsid w:val="00D922C2"/>
    <w:rsid w:val="00DB6FF7"/>
    <w:rsid w:val="00DC59F8"/>
    <w:rsid w:val="00DD0324"/>
    <w:rsid w:val="00DE1549"/>
    <w:rsid w:val="00DF16E3"/>
    <w:rsid w:val="00DF54DF"/>
    <w:rsid w:val="00E05AA1"/>
    <w:rsid w:val="00E1192D"/>
    <w:rsid w:val="00E12404"/>
    <w:rsid w:val="00E13798"/>
    <w:rsid w:val="00E20DB6"/>
    <w:rsid w:val="00E239AE"/>
    <w:rsid w:val="00E53AA2"/>
    <w:rsid w:val="00E62762"/>
    <w:rsid w:val="00EA3F5A"/>
    <w:rsid w:val="00EA4B7D"/>
    <w:rsid w:val="00ED265A"/>
    <w:rsid w:val="00ED3A01"/>
    <w:rsid w:val="00EE2779"/>
    <w:rsid w:val="00F12D0E"/>
    <w:rsid w:val="00F13126"/>
    <w:rsid w:val="00F34BD9"/>
    <w:rsid w:val="00F37234"/>
    <w:rsid w:val="00F5203B"/>
    <w:rsid w:val="00F57B77"/>
    <w:rsid w:val="00F67DF4"/>
    <w:rsid w:val="00F768DE"/>
    <w:rsid w:val="00F82320"/>
    <w:rsid w:val="00FB3F81"/>
    <w:rsid w:val="00FC4543"/>
    <w:rsid w:val="00FC77E7"/>
    <w:rsid w:val="00FD6AA1"/>
    <w:rsid w:val="00FE47CD"/>
    <w:rsid w:val="00FF33B8"/>
    <w:rsid w:val="00FF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3CBC5"/>
  <w15:docId w15:val="{64493F1D-7C94-49B9-9205-40F76BAF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324"/>
    <w:pPr>
      <w:tabs>
        <w:tab w:val="left" w:pos="2552"/>
        <w:tab w:val="left" w:pos="5103"/>
      </w:tabs>
      <w:spacing w:before="60" w:after="0" w:line="240" w:lineRule="auto"/>
    </w:pPr>
    <w:rPr>
      <w:rFonts w:eastAsia="Times New Roman" w:cs="Times New Roman"/>
      <w:szCs w:val="24"/>
      <w:lang w:eastAsia="de-DE"/>
    </w:rPr>
  </w:style>
  <w:style w:type="paragraph" w:styleId="berschrift1">
    <w:name w:val="heading 1"/>
    <w:basedOn w:val="Standard"/>
    <w:next w:val="Standard"/>
    <w:link w:val="berschrift1Zchn"/>
    <w:uiPriority w:val="9"/>
    <w:qFormat/>
    <w:rsid w:val="00280A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7003DF"/>
    <w:pPr>
      <w:keepNext/>
      <w:tabs>
        <w:tab w:val="left" w:pos="567"/>
      </w:tabs>
      <w:spacing w:before="120" w:after="60"/>
      <w:outlineLvl w:val="1"/>
    </w:pPr>
    <w:rPr>
      <w:rFonts w:cs="Arial"/>
      <w:bCs/>
      <w:iCs/>
      <w:sz w:val="32"/>
      <w:szCs w:val="28"/>
    </w:rPr>
  </w:style>
  <w:style w:type="paragraph" w:styleId="berschrift3">
    <w:name w:val="heading 3"/>
    <w:basedOn w:val="Standard"/>
    <w:next w:val="Standard"/>
    <w:link w:val="berschrift3Zchn"/>
    <w:uiPriority w:val="9"/>
    <w:unhideWhenUsed/>
    <w:qFormat/>
    <w:rsid w:val="008A49AE"/>
    <w:pPr>
      <w:keepNext/>
      <w:keepLines/>
      <w:tabs>
        <w:tab w:val="left" w:pos="567"/>
      </w:tabs>
      <w:spacing w:before="200"/>
      <w:outlineLvl w:val="2"/>
    </w:pPr>
    <w:rPr>
      <w:rFonts w:eastAsiaTheme="majorEastAsia" w:cstheme="majorBidi"/>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003DF"/>
    <w:rPr>
      <w:rFonts w:eastAsia="Times New Roman" w:cs="Arial"/>
      <w:bCs/>
      <w:iCs/>
      <w:sz w:val="32"/>
      <w:szCs w:val="28"/>
      <w:lang w:eastAsia="de-DE"/>
    </w:rPr>
  </w:style>
  <w:style w:type="paragraph" w:customStyle="1" w:styleId="Formatvorlageberschrift1UntenEinfacheeinfarbigeLinieAutomatisc">
    <w:name w:val="Formatvorlage Überschrift 1 + Unten: (Einfache einfarbige Linie Automatisc..."/>
    <w:basedOn w:val="berschrift1"/>
    <w:rsid w:val="00280A6E"/>
    <w:pPr>
      <w:keepLines w:val="0"/>
      <w:pBdr>
        <w:bottom w:val="single" w:sz="4" w:space="1" w:color="auto"/>
      </w:pBdr>
      <w:tabs>
        <w:tab w:val="left" w:pos="425"/>
      </w:tabs>
      <w:spacing w:before="120" w:after="60"/>
    </w:pPr>
    <w:rPr>
      <w:rFonts w:ascii="Times New Roman" w:eastAsia="Times New Roman" w:hAnsi="Times New Roman" w:cs="Times New Roman"/>
      <w:b w:val="0"/>
      <w:bCs w:val="0"/>
      <w:color w:val="auto"/>
      <w:kern w:val="32"/>
      <w:sz w:val="32"/>
      <w:szCs w:val="20"/>
    </w:rPr>
  </w:style>
  <w:style w:type="character" w:customStyle="1" w:styleId="berschrift1Zchn">
    <w:name w:val="Überschrift 1 Zchn"/>
    <w:basedOn w:val="Absatz-Standardschriftart"/>
    <w:link w:val="berschrift1"/>
    <w:uiPriority w:val="9"/>
    <w:rsid w:val="00280A6E"/>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280A6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0A6E"/>
    <w:rPr>
      <w:rFonts w:ascii="Tahoma" w:eastAsia="Times New Roman" w:hAnsi="Tahoma" w:cs="Tahoma"/>
      <w:sz w:val="16"/>
      <w:szCs w:val="16"/>
      <w:lang w:eastAsia="de-DE"/>
    </w:rPr>
  </w:style>
  <w:style w:type="table" w:styleId="Tabellenraster">
    <w:name w:val="Table Grid"/>
    <w:basedOn w:val="NormaleTabelle"/>
    <w:rsid w:val="0053415C"/>
    <w:pPr>
      <w:tabs>
        <w:tab w:val="left" w:pos="2552"/>
        <w:tab w:val="left" w:pos="5103"/>
      </w:tabs>
      <w:spacing w:before="6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3415C"/>
    <w:pPr>
      <w:spacing w:before="0"/>
    </w:pPr>
    <w:rPr>
      <w:sz w:val="20"/>
      <w:szCs w:val="20"/>
    </w:rPr>
  </w:style>
  <w:style w:type="character" w:customStyle="1" w:styleId="FunotentextZchn">
    <w:name w:val="Fußnotentext Zchn"/>
    <w:basedOn w:val="Absatz-Standardschriftart"/>
    <w:link w:val="Funotentext"/>
    <w:uiPriority w:val="99"/>
    <w:semiHidden/>
    <w:rsid w:val="0053415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53415C"/>
    <w:rPr>
      <w:vertAlign w:val="superscript"/>
    </w:rPr>
  </w:style>
  <w:style w:type="table" w:customStyle="1" w:styleId="Tabellenraster1">
    <w:name w:val="Tabellenraster1"/>
    <w:basedOn w:val="NormaleTabelle"/>
    <w:next w:val="Tabellenraster"/>
    <w:rsid w:val="000100FA"/>
    <w:pPr>
      <w:tabs>
        <w:tab w:val="left" w:pos="2552"/>
        <w:tab w:val="left" w:pos="5103"/>
      </w:tabs>
      <w:spacing w:before="6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D0324"/>
    <w:pPr>
      <w:tabs>
        <w:tab w:val="clear" w:pos="2552"/>
        <w:tab w:val="clear" w:pos="5103"/>
        <w:tab w:val="center" w:pos="4536"/>
        <w:tab w:val="right" w:pos="9072"/>
      </w:tabs>
      <w:spacing w:before="0"/>
    </w:pPr>
  </w:style>
  <w:style w:type="character" w:customStyle="1" w:styleId="KopfzeileZchn">
    <w:name w:val="Kopfzeile Zchn"/>
    <w:basedOn w:val="Absatz-Standardschriftart"/>
    <w:link w:val="Kopfzeile"/>
    <w:uiPriority w:val="99"/>
    <w:rsid w:val="00DD0324"/>
    <w:rPr>
      <w:rFonts w:eastAsia="Times New Roman" w:cs="Times New Roman"/>
      <w:szCs w:val="24"/>
      <w:lang w:eastAsia="de-DE"/>
    </w:rPr>
  </w:style>
  <w:style w:type="paragraph" w:styleId="Fuzeile">
    <w:name w:val="footer"/>
    <w:basedOn w:val="Standard"/>
    <w:link w:val="FuzeileZchn"/>
    <w:uiPriority w:val="99"/>
    <w:unhideWhenUsed/>
    <w:rsid w:val="00DD0324"/>
    <w:pPr>
      <w:tabs>
        <w:tab w:val="clear" w:pos="2552"/>
        <w:tab w:val="clear" w:pos="5103"/>
        <w:tab w:val="center" w:pos="4536"/>
        <w:tab w:val="right" w:pos="9072"/>
      </w:tabs>
      <w:spacing w:before="0"/>
    </w:pPr>
  </w:style>
  <w:style w:type="character" w:customStyle="1" w:styleId="FuzeileZchn">
    <w:name w:val="Fußzeile Zchn"/>
    <w:basedOn w:val="Absatz-Standardschriftart"/>
    <w:link w:val="Fuzeile"/>
    <w:uiPriority w:val="99"/>
    <w:rsid w:val="00DD0324"/>
    <w:rPr>
      <w:rFonts w:eastAsia="Times New Roman" w:cs="Times New Roman"/>
      <w:szCs w:val="24"/>
      <w:lang w:eastAsia="de-DE"/>
    </w:rPr>
  </w:style>
  <w:style w:type="character" w:customStyle="1" w:styleId="berschrift3Zchn">
    <w:name w:val="Überschrift 3 Zchn"/>
    <w:basedOn w:val="Absatz-Standardschriftart"/>
    <w:link w:val="berschrift3"/>
    <w:uiPriority w:val="9"/>
    <w:rsid w:val="008A49AE"/>
    <w:rPr>
      <w:rFonts w:eastAsiaTheme="majorEastAsia" w:cstheme="majorBidi"/>
      <w:bCs/>
      <w:sz w:val="28"/>
      <w:szCs w:val="24"/>
      <w:lang w:eastAsia="de-DE"/>
    </w:rPr>
  </w:style>
  <w:style w:type="paragraph" w:styleId="KeinLeerraum">
    <w:name w:val="No Spacing"/>
    <w:uiPriority w:val="1"/>
    <w:qFormat/>
    <w:rsid w:val="00471F2E"/>
    <w:pPr>
      <w:tabs>
        <w:tab w:val="left" w:pos="2552"/>
        <w:tab w:val="left" w:pos="5103"/>
      </w:tabs>
      <w:spacing w:after="0" w:line="240" w:lineRule="auto"/>
    </w:pPr>
    <w:rPr>
      <w:rFonts w:eastAsia="Times New Roman" w:cs="Times New Roman"/>
      <w:szCs w:val="24"/>
      <w:lang w:eastAsia="de-DE"/>
    </w:rPr>
  </w:style>
  <w:style w:type="paragraph" w:customStyle="1" w:styleId="Default">
    <w:name w:val="Default"/>
    <w:rsid w:val="00471F2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3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838">
      <w:bodyDiv w:val="1"/>
      <w:marLeft w:val="0"/>
      <w:marRight w:val="0"/>
      <w:marTop w:val="0"/>
      <w:marBottom w:val="0"/>
      <w:divBdr>
        <w:top w:val="none" w:sz="0" w:space="0" w:color="auto"/>
        <w:left w:val="none" w:sz="0" w:space="0" w:color="auto"/>
        <w:bottom w:val="none" w:sz="0" w:space="0" w:color="auto"/>
        <w:right w:val="none" w:sz="0" w:space="0" w:color="auto"/>
      </w:divBdr>
    </w:div>
    <w:div w:id="742919957">
      <w:bodyDiv w:val="1"/>
      <w:marLeft w:val="0"/>
      <w:marRight w:val="0"/>
      <w:marTop w:val="0"/>
      <w:marBottom w:val="0"/>
      <w:divBdr>
        <w:top w:val="none" w:sz="0" w:space="0" w:color="auto"/>
        <w:left w:val="none" w:sz="0" w:space="0" w:color="auto"/>
        <w:bottom w:val="none" w:sz="0" w:space="0" w:color="auto"/>
        <w:right w:val="none" w:sz="0" w:space="0" w:color="auto"/>
      </w:divBdr>
    </w:div>
    <w:div w:id="929043153">
      <w:bodyDiv w:val="1"/>
      <w:marLeft w:val="0"/>
      <w:marRight w:val="0"/>
      <w:marTop w:val="0"/>
      <w:marBottom w:val="0"/>
      <w:divBdr>
        <w:top w:val="none" w:sz="0" w:space="0" w:color="auto"/>
        <w:left w:val="none" w:sz="0" w:space="0" w:color="auto"/>
        <w:bottom w:val="none" w:sz="0" w:space="0" w:color="auto"/>
        <w:right w:val="none" w:sz="0" w:space="0" w:color="auto"/>
      </w:divBdr>
    </w:div>
    <w:div w:id="1843813832">
      <w:bodyDiv w:val="1"/>
      <w:marLeft w:val="0"/>
      <w:marRight w:val="0"/>
      <w:marTop w:val="0"/>
      <w:marBottom w:val="0"/>
      <w:divBdr>
        <w:top w:val="none" w:sz="0" w:space="0" w:color="auto"/>
        <w:left w:val="none" w:sz="0" w:space="0" w:color="auto"/>
        <w:bottom w:val="none" w:sz="0" w:space="0" w:color="auto"/>
        <w:right w:val="none" w:sz="0" w:space="0" w:color="auto"/>
      </w:divBdr>
    </w:div>
    <w:div w:id="21440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nberger\-%20SDBL%20Umstellung\-%20SDBL%20Korrektur%2002.11.201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A5FD-DAA6-44F2-A38A-1F765D79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SDBL Korrektur 02.11.2011</Template>
  <TotalTime>0</TotalTime>
  <Pages>11</Pages>
  <Words>2100</Words>
  <Characters>13232</Characters>
  <Application>Microsoft Office Word</Application>
  <DocSecurity>12</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Gebro Pharma GmbH</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Dirnberger</dc:creator>
  <cp:lastModifiedBy>Datacare GesmbH</cp:lastModifiedBy>
  <cp:revision>2</cp:revision>
  <dcterms:created xsi:type="dcterms:W3CDTF">2021-03-04T11:44:00Z</dcterms:created>
  <dcterms:modified xsi:type="dcterms:W3CDTF">2021-03-04T11:44:00Z</dcterms:modified>
</cp:coreProperties>
</file>